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D9935" w14:textId="586AC73D" w:rsidR="00537515" w:rsidRPr="00890CBC" w:rsidRDefault="00537515" w:rsidP="00537515">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109</w:t>
      </w:r>
      <w:r w:rsidRPr="00F644CF">
        <w:rPr>
          <w:rFonts w:ascii="Arial" w:hAnsi="Arial" w:cs="Arial"/>
          <w:b/>
          <w:sz w:val="24"/>
          <w:szCs w:val="24"/>
        </w:rPr>
        <w:tab/>
      </w:r>
      <w:r w:rsidR="00E67AF2" w:rsidRPr="00E67AF2">
        <w:rPr>
          <w:rFonts w:ascii="Arial" w:hAnsi="Arial" w:cs="Arial"/>
          <w:b/>
          <w:sz w:val="24"/>
          <w:szCs w:val="24"/>
        </w:rPr>
        <w:t>R4-2318897</w:t>
      </w:r>
      <w:bookmarkStart w:id="0" w:name="_GoBack"/>
      <w:bookmarkEnd w:id="0"/>
    </w:p>
    <w:p w14:paraId="141461C7" w14:textId="294B5A66" w:rsidR="00DE55A0" w:rsidRPr="00807EF6" w:rsidRDefault="00537515" w:rsidP="00537515">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Chicago</w:t>
      </w:r>
      <w:r w:rsidRPr="00890CBC">
        <w:rPr>
          <w:rFonts w:ascii="Arial" w:eastAsia="SimSun" w:hAnsi="Arial"/>
          <w:b/>
          <w:sz w:val="24"/>
          <w:szCs w:val="24"/>
          <w:lang w:eastAsia="zh-CN"/>
        </w:rPr>
        <w:t xml:space="preserve">, </w:t>
      </w:r>
      <w:r>
        <w:rPr>
          <w:rFonts w:ascii="Arial" w:eastAsia="SimSun" w:hAnsi="Arial"/>
          <w:b/>
          <w:sz w:val="24"/>
          <w:szCs w:val="24"/>
          <w:lang w:eastAsia="zh-CN"/>
        </w:rPr>
        <w:t>US</w:t>
      </w:r>
      <w:r w:rsidRPr="00890CBC">
        <w:rPr>
          <w:rFonts w:ascii="Arial" w:eastAsia="SimSun" w:hAnsi="Arial"/>
          <w:b/>
          <w:sz w:val="24"/>
          <w:szCs w:val="24"/>
          <w:lang w:eastAsia="zh-CN"/>
        </w:rPr>
        <w:t xml:space="preserve">, </w:t>
      </w:r>
      <w:r>
        <w:rPr>
          <w:rFonts w:ascii="Arial" w:eastAsia="SimSun" w:hAnsi="Arial"/>
          <w:b/>
          <w:sz w:val="24"/>
          <w:szCs w:val="24"/>
          <w:lang w:eastAsia="zh-CN"/>
        </w:rPr>
        <w:t>13</w:t>
      </w:r>
      <w:r w:rsidRPr="00890CBC">
        <w:rPr>
          <w:rFonts w:ascii="Arial" w:eastAsia="SimSun" w:hAnsi="Arial"/>
          <w:b/>
          <w:sz w:val="24"/>
          <w:szCs w:val="24"/>
          <w:lang w:eastAsia="zh-CN"/>
        </w:rPr>
        <w:t xml:space="preserve"> – </w:t>
      </w:r>
      <w:r>
        <w:rPr>
          <w:rFonts w:ascii="Arial" w:eastAsia="SimSun" w:hAnsi="Arial"/>
          <w:b/>
          <w:sz w:val="24"/>
          <w:szCs w:val="24"/>
          <w:lang w:eastAsia="zh-CN"/>
        </w:rPr>
        <w:t>17 November</w:t>
      </w:r>
      <w:r w:rsidRPr="00890CBC">
        <w:rPr>
          <w:rFonts w:ascii="Arial" w:eastAsia="SimSun" w:hAnsi="Arial"/>
          <w:b/>
          <w:sz w:val="24"/>
          <w:szCs w:val="24"/>
          <w:lang w:eastAsia="zh-CN"/>
        </w:rPr>
        <w:t>,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CF59580"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A275B">
        <w:rPr>
          <w:rFonts w:ascii="Arial" w:hAnsi="Arial" w:cs="Arial"/>
          <w:lang w:val="en-US"/>
        </w:rPr>
        <w:t>Discussion on NTN service continuity enhancement</w:t>
      </w:r>
    </w:p>
    <w:p w14:paraId="230565BA" w14:textId="54F5480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37515">
        <w:rPr>
          <w:rFonts w:ascii="Arial" w:hAnsi="Arial" w:cs="Arial"/>
          <w:lang w:val="en-US" w:eastAsia="ko-KR"/>
        </w:rPr>
        <w:t>8</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3A2CBF">
        <w:rPr>
          <w:rFonts w:ascii="Arial" w:hAnsi="Arial" w:cs="Arial"/>
          <w:lang w:val="en-US" w:eastAsia="ko-KR"/>
        </w:rPr>
        <w:t>6</w:t>
      </w:r>
      <w:r w:rsidR="00FC514A">
        <w:rPr>
          <w:rFonts w:ascii="Arial" w:hAnsi="Arial" w:cs="Arial"/>
          <w:lang w:val="en-US" w:eastAsia="ko-KR"/>
        </w:rPr>
        <w:t>.3</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5DA2B05F" w:rsidR="00EE15F0" w:rsidRDefault="00EA76B0" w:rsidP="00C90E2E">
      <w:pPr>
        <w:pStyle w:val="a0"/>
        <w:jc w:val="both"/>
        <w:rPr>
          <w:lang w:val="en-US" w:eastAsia="ko-KR"/>
        </w:rPr>
      </w:pPr>
      <w:r>
        <w:rPr>
          <w:lang w:val="en-US" w:eastAsia="ko-KR"/>
        </w:rPr>
        <w:t>I</w:t>
      </w:r>
      <w:r w:rsidR="00A27059">
        <w:rPr>
          <w:lang w:val="en-US" w:eastAsia="ko-KR"/>
        </w:rPr>
        <w:t>n this contribution, we provide</w:t>
      </w:r>
      <w:r>
        <w:rPr>
          <w:lang w:val="en-US" w:eastAsia="ko-KR"/>
        </w:rPr>
        <w:t xml:space="preserve"> our views on NR NTN enhancement for RRM requirement</w:t>
      </w:r>
      <w:r w:rsidR="0086544A">
        <w:rPr>
          <w:lang w:val="en-US" w:eastAsia="ko-KR"/>
        </w:rPr>
        <w:t>s</w:t>
      </w:r>
      <w:r>
        <w:rPr>
          <w:lang w:val="en-US" w:eastAsia="ko-KR"/>
        </w:rPr>
        <w:t xml:space="preserve"> related to </w:t>
      </w:r>
      <w:r w:rsidR="00D2053F">
        <w:rPr>
          <w:lang w:val="en-US" w:eastAsia="ko-KR"/>
        </w:rPr>
        <w:t>IDLE/INACTIVE mode mobility based on approved WF [1].</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79A1711D" w14:textId="77777777" w:rsidR="004509FD" w:rsidRDefault="004509FD" w:rsidP="004509FD">
      <w:pPr>
        <w:pStyle w:val="20"/>
        <w:rPr>
          <w:lang w:val="en-US" w:eastAsia="ko-KR"/>
        </w:rPr>
      </w:pPr>
      <w:r w:rsidRPr="008B0831">
        <w:rPr>
          <w:lang w:val="en-US" w:eastAsia="ko-KR"/>
        </w:rPr>
        <w:t>NTN-</w:t>
      </w:r>
      <w:r>
        <w:rPr>
          <w:lang w:val="en-US" w:eastAsia="ko-KR"/>
        </w:rPr>
        <w:t>to-</w:t>
      </w:r>
      <w:r w:rsidRPr="008B0831">
        <w:rPr>
          <w:lang w:val="en-US" w:eastAsia="ko-KR"/>
        </w:rPr>
        <w:t>TN cell reselection enhancements</w:t>
      </w:r>
      <w:r>
        <w:rPr>
          <w:lang w:val="en-US" w:eastAsia="ko-KR"/>
        </w:rPr>
        <w:t xml:space="preserve"> </w:t>
      </w:r>
    </w:p>
    <w:p w14:paraId="6BFE0C9F" w14:textId="322F108E" w:rsidR="00794C8C" w:rsidRDefault="00794C8C" w:rsidP="004509FD">
      <w:pPr>
        <w:pStyle w:val="a0"/>
        <w:jc w:val="both"/>
        <w:rPr>
          <w:lang w:val="en-US" w:eastAsia="ko-KR"/>
        </w:rPr>
      </w:pPr>
      <w:r w:rsidRPr="003A5D22">
        <w:rPr>
          <w:b/>
          <w:u w:val="single"/>
          <w:lang w:eastAsia="ko-KR"/>
        </w:rPr>
        <w:t>TN to NTN cell reselection</w:t>
      </w:r>
    </w:p>
    <w:p w14:paraId="698A175B" w14:textId="1E062B68" w:rsidR="00794C8C" w:rsidRDefault="00794C8C" w:rsidP="004509FD">
      <w:pPr>
        <w:pStyle w:val="a0"/>
        <w:jc w:val="both"/>
        <w:rPr>
          <w:lang w:val="en-US" w:eastAsia="ko-KR"/>
        </w:rPr>
      </w:pPr>
      <w:r>
        <w:rPr>
          <w:lang w:val="en-US" w:eastAsia="ko-KR"/>
        </w:rPr>
        <w:t>To reselect</w:t>
      </w:r>
      <w:r>
        <w:rPr>
          <w:rFonts w:hint="eastAsia"/>
          <w:lang w:val="en-US" w:eastAsia="ko-KR"/>
        </w:rPr>
        <w:t xml:space="preserve"> NTN cell</w:t>
      </w:r>
      <w:r>
        <w:rPr>
          <w:lang w:val="en-US" w:eastAsia="ko-KR"/>
        </w:rPr>
        <w:t xml:space="preserve"> from TN serving cell</w:t>
      </w:r>
      <w:r>
        <w:rPr>
          <w:rFonts w:hint="eastAsia"/>
          <w:lang w:val="en-US" w:eastAsia="ko-KR"/>
        </w:rPr>
        <w:t xml:space="preserve">, a UE </w:t>
      </w:r>
      <w:r>
        <w:rPr>
          <w:lang w:val="en-US" w:eastAsia="ko-KR"/>
        </w:rPr>
        <w:t>should be able to measure SSB from NTN cells, but there is no way for the TN serving cell to inform the UE of SMTC for NTN cells based on current RAN2 specification. RAN2 is discussing on whether/how to inform the SMTC for NTN cells, so RAN4 needs to wait for RAN2 conclusion.</w:t>
      </w:r>
    </w:p>
    <w:tbl>
      <w:tblPr>
        <w:tblStyle w:val="a9"/>
        <w:tblW w:w="0" w:type="auto"/>
        <w:tblLook w:val="04A0" w:firstRow="1" w:lastRow="0" w:firstColumn="1" w:lastColumn="0" w:noHBand="0" w:noVBand="1"/>
      </w:tblPr>
      <w:tblGrid>
        <w:gridCol w:w="9855"/>
      </w:tblGrid>
      <w:tr w:rsidR="00794C8C" w14:paraId="611F0288" w14:textId="77777777" w:rsidTr="00794C8C">
        <w:tc>
          <w:tcPr>
            <w:tcW w:w="9855" w:type="dxa"/>
          </w:tcPr>
          <w:p w14:paraId="286D6CAC" w14:textId="77777777" w:rsidR="00794C8C" w:rsidRPr="003A5D22" w:rsidRDefault="00794C8C" w:rsidP="00794C8C">
            <w:pPr>
              <w:spacing w:line="252" w:lineRule="auto"/>
              <w:rPr>
                <w:b/>
                <w:bCs/>
                <w:u w:val="single"/>
                <w:lang w:eastAsia="ja-JP"/>
              </w:rPr>
            </w:pPr>
            <w:bookmarkStart w:id="1" w:name="_Hlk147849822"/>
            <w:r w:rsidRPr="003A5D22">
              <w:rPr>
                <w:b/>
                <w:bCs/>
                <w:u w:val="single"/>
                <w:lang w:eastAsia="ja-JP"/>
              </w:rPr>
              <w:t>Agreement:</w:t>
            </w:r>
          </w:p>
          <w:bookmarkEnd w:id="1"/>
          <w:p w14:paraId="69D9BC70" w14:textId="73AFF7B8" w:rsidR="00794C8C" w:rsidRPr="00794C8C" w:rsidRDefault="00794C8C" w:rsidP="00794C8C">
            <w:pPr>
              <w:pStyle w:val="ad"/>
              <w:numPr>
                <w:ilvl w:val="0"/>
                <w:numId w:val="37"/>
              </w:numPr>
              <w:overflowPunct w:val="0"/>
              <w:autoSpaceDE w:val="0"/>
              <w:autoSpaceDN w:val="0"/>
              <w:adjustRightInd w:val="0"/>
              <w:spacing w:line="276" w:lineRule="auto"/>
              <w:ind w:leftChars="0" w:left="644"/>
              <w:textAlignment w:val="baseline"/>
              <w:rPr>
                <w:lang w:eastAsia="ja-JP"/>
              </w:rPr>
            </w:pPr>
            <w:r w:rsidRPr="003A5D22">
              <w:rPr>
                <w:lang w:eastAsia="ja-JP"/>
              </w:rPr>
              <w:t>FFS: whether/how to define TN to NTN cell reselection.</w:t>
            </w:r>
          </w:p>
        </w:tc>
      </w:tr>
    </w:tbl>
    <w:p w14:paraId="0C37167E" w14:textId="5028ABBD" w:rsidR="00794C8C" w:rsidRDefault="00794C8C" w:rsidP="00794C8C">
      <w:pPr>
        <w:pStyle w:val="a0"/>
        <w:numPr>
          <w:ilvl w:val="0"/>
          <w:numId w:val="47"/>
        </w:numPr>
        <w:jc w:val="both"/>
        <w:rPr>
          <w:lang w:val="en-US" w:eastAsia="ko-KR"/>
        </w:rPr>
      </w:pPr>
      <w:r w:rsidRPr="004D5A6A">
        <w:rPr>
          <w:b/>
          <w:i/>
          <w:lang w:val="en-US" w:eastAsia="ko-KR"/>
        </w:rPr>
        <w:t>Proposal 1</w:t>
      </w:r>
      <w:r>
        <w:rPr>
          <w:lang w:val="en-US" w:eastAsia="ko-KR"/>
        </w:rPr>
        <w:t xml:space="preserve">: </w:t>
      </w:r>
      <w:r w:rsidR="004D5A6A">
        <w:rPr>
          <w:lang w:val="en-US" w:eastAsia="ko-KR"/>
        </w:rPr>
        <w:t>RAN4 to w</w:t>
      </w:r>
      <w:r>
        <w:rPr>
          <w:lang w:val="en-US" w:eastAsia="ko-KR"/>
        </w:rPr>
        <w:t xml:space="preserve">ait for RAN2 conclusion </w:t>
      </w:r>
      <w:r w:rsidR="004D5A6A">
        <w:rPr>
          <w:lang w:val="en-US" w:eastAsia="ko-KR"/>
        </w:rPr>
        <w:t>on TN to NTN cell reselection.</w:t>
      </w:r>
    </w:p>
    <w:p w14:paraId="38669473" w14:textId="77777777" w:rsidR="00794C8C" w:rsidRDefault="00794C8C" w:rsidP="004509FD">
      <w:pPr>
        <w:pStyle w:val="a0"/>
        <w:jc w:val="both"/>
        <w:rPr>
          <w:lang w:val="en-US" w:eastAsia="ko-KR"/>
        </w:rPr>
      </w:pPr>
    </w:p>
    <w:p w14:paraId="6BC1BF78" w14:textId="02DB4BEB" w:rsidR="004D5A6A" w:rsidRDefault="004D5A6A" w:rsidP="004509FD">
      <w:pPr>
        <w:pStyle w:val="a0"/>
        <w:jc w:val="both"/>
        <w:rPr>
          <w:lang w:val="en-US" w:eastAsia="ko-KR"/>
        </w:rPr>
      </w:pPr>
      <w:r w:rsidRPr="003A5D22">
        <w:rPr>
          <w:b/>
          <w:u w:val="single"/>
          <w:lang w:eastAsia="ko-KR"/>
        </w:rPr>
        <w:t>NTN to TN cell reselection</w:t>
      </w:r>
    </w:p>
    <w:p w14:paraId="417D4F42" w14:textId="7372051E" w:rsidR="004509FD" w:rsidRDefault="00AA45DA" w:rsidP="004509FD">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RAN2 conculsion, TN coverage area center and radius are provided for TN cell reselection, and UE does not need to measure TN cell </w:t>
      </w:r>
      <w:r w:rsidR="00385A30">
        <w:rPr>
          <w:lang w:val="en-US" w:eastAsia="ko-KR"/>
        </w:rPr>
        <w:t xml:space="preserve">when the coverage information is not provided or UE is outside the TN coverage. Therefore, the conditions under which UE measures TN cells should be captured in the specification similar as existing location based cell reselection. </w:t>
      </w:r>
    </w:p>
    <w:tbl>
      <w:tblPr>
        <w:tblStyle w:val="a9"/>
        <w:tblW w:w="0" w:type="auto"/>
        <w:tblLook w:val="04A0" w:firstRow="1" w:lastRow="0" w:firstColumn="1" w:lastColumn="0" w:noHBand="0" w:noVBand="1"/>
      </w:tblPr>
      <w:tblGrid>
        <w:gridCol w:w="9855"/>
      </w:tblGrid>
      <w:tr w:rsidR="004509FD" w14:paraId="5A2B5EF6" w14:textId="77777777" w:rsidTr="001F33DF">
        <w:tc>
          <w:tcPr>
            <w:tcW w:w="9855" w:type="dxa"/>
          </w:tcPr>
          <w:p w14:paraId="52D4497D" w14:textId="77777777" w:rsidR="004509FD" w:rsidRPr="003A5D22" w:rsidRDefault="004509FD" w:rsidP="004509FD">
            <w:pPr>
              <w:spacing w:line="252" w:lineRule="auto"/>
              <w:rPr>
                <w:b/>
                <w:bCs/>
                <w:u w:val="single"/>
                <w:lang w:eastAsia="ja-JP"/>
              </w:rPr>
            </w:pPr>
            <w:r w:rsidRPr="003A5D22">
              <w:rPr>
                <w:b/>
                <w:bCs/>
                <w:u w:val="single"/>
                <w:lang w:eastAsia="ja-JP"/>
              </w:rPr>
              <w:t>Agreement:</w:t>
            </w:r>
          </w:p>
          <w:p w14:paraId="351416F4" w14:textId="77777777" w:rsidR="004509FD" w:rsidRPr="003A5D22" w:rsidRDefault="004509FD" w:rsidP="004509FD">
            <w:pPr>
              <w:pStyle w:val="ad"/>
              <w:numPr>
                <w:ilvl w:val="0"/>
                <w:numId w:val="37"/>
              </w:numPr>
              <w:overflowPunct w:val="0"/>
              <w:autoSpaceDE w:val="0"/>
              <w:autoSpaceDN w:val="0"/>
              <w:adjustRightInd w:val="0"/>
              <w:spacing w:line="276" w:lineRule="auto"/>
              <w:ind w:leftChars="0" w:left="644"/>
              <w:textAlignment w:val="baseline"/>
              <w:rPr>
                <w:lang w:eastAsia="ja-JP"/>
              </w:rPr>
            </w:pPr>
            <w:r w:rsidRPr="003A5D22">
              <w:rPr>
                <w:lang w:eastAsia="ja-JP"/>
              </w:rPr>
              <w:t>UE is allowed to skip TN neighbour cells measurement in an area where there is no coverage of the frequency based on the provided TN cell coverage information and UE GNSS position information. FFS whether and how to implement it RAN4 CR.</w:t>
            </w:r>
          </w:p>
          <w:p w14:paraId="785118A5" w14:textId="0EC47B97" w:rsidR="004509FD" w:rsidRPr="004509FD" w:rsidRDefault="004509FD" w:rsidP="004509FD">
            <w:pPr>
              <w:pStyle w:val="ad"/>
              <w:numPr>
                <w:ilvl w:val="0"/>
                <w:numId w:val="37"/>
              </w:numPr>
              <w:overflowPunct w:val="0"/>
              <w:autoSpaceDE w:val="0"/>
              <w:autoSpaceDN w:val="0"/>
              <w:adjustRightInd w:val="0"/>
              <w:spacing w:line="276" w:lineRule="auto"/>
              <w:ind w:leftChars="0" w:left="644"/>
              <w:textAlignment w:val="baseline"/>
              <w:rPr>
                <w:lang w:eastAsia="ja-JP"/>
              </w:rPr>
            </w:pPr>
            <w:r w:rsidRPr="003A5D22">
              <w:rPr>
                <w:lang w:eastAsia="ja-JP"/>
              </w:rPr>
              <w:t>FFS on how to enhance NTN-to-TN cell reselection in case of mismatch between practical TN cell coverage and TN cell coverage information provided by serving cell.</w:t>
            </w:r>
          </w:p>
        </w:tc>
      </w:tr>
    </w:tbl>
    <w:p w14:paraId="4CE6E84C" w14:textId="75A3ACDF" w:rsidR="004509FD" w:rsidRDefault="004509FD" w:rsidP="004509FD">
      <w:pPr>
        <w:pStyle w:val="a0"/>
        <w:jc w:val="both"/>
        <w:rPr>
          <w:lang w:val="en-US" w:eastAsia="ko-KR"/>
        </w:rPr>
      </w:pPr>
      <w:r>
        <w:rPr>
          <w:rFonts w:hint="eastAsia"/>
          <w:lang w:val="en-US" w:eastAsia="ko-KR"/>
        </w:rPr>
        <w:t xml:space="preserve">For the requirements, </w:t>
      </w:r>
      <w:r>
        <w:rPr>
          <w:lang w:val="en-US" w:eastAsia="ko-KR"/>
        </w:rPr>
        <w:t>measurements of inter-frequency NR cell in clause 4.2.2.4 could be reused for TN frequency measurement when serving cell is NTN</w:t>
      </w:r>
      <w:r w:rsidR="00655149">
        <w:rPr>
          <w:lang w:val="en-US" w:eastAsia="ko-KR"/>
        </w:rPr>
        <w:t xml:space="preserve"> considering TN cell coverage information</w:t>
      </w:r>
      <w:r>
        <w:rPr>
          <w:lang w:val="en-US" w:eastAsia="ko-KR"/>
        </w:rPr>
        <w:t xml:space="preserve">. </w:t>
      </w:r>
      <w:r w:rsidR="00655149">
        <w:rPr>
          <w:lang w:val="en-US" w:eastAsia="ko-KR"/>
        </w:rPr>
        <w:t>F</w:t>
      </w:r>
      <w:r>
        <w:rPr>
          <w:lang w:val="en-US" w:eastAsia="ko-KR"/>
        </w:rPr>
        <w:t xml:space="preserve">or example, </w:t>
      </w:r>
    </w:p>
    <w:p w14:paraId="5C02E750" w14:textId="002ACBDD" w:rsidR="00655149" w:rsidRDefault="00655149" w:rsidP="004509FD">
      <w:pPr>
        <w:pStyle w:val="a0"/>
        <w:numPr>
          <w:ilvl w:val="0"/>
          <w:numId w:val="23"/>
        </w:numPr>
        <w:jc w:val="both"/>
        <w:rPr>
          <w:lang w:val="en-US" w:eastAsia="ko-KR"/>
        </w:rPr>
      </w:pPr>
      <w:r>
        <w:rPr>
          <w:lang w:val="en-US" w:eastAsia="ko-KR"/>
        </w:rPr>
        <w:t xml:space="preserve">If serving cell is NTN and the TN coverage information is provided, </w:t>
      </w:r>
      <w:r w:rsidR="00D426F4">
        <w:rPr>
          <w:lang w:val="en-US" w:eastAsia="ko-KR"/>
        </w:rPr>
        <w:t xml:space="preserve">UE shall search for and measure TN frequency layers if the distance between UE and the reference location of TN coverage is smaller than distanceThresh </w:t>
      </w:r>
      <w:r w:rsidR="00B7402E">
        <w:rPr>
          <w:lang w:val="en-US" w:eastAsia="ko-KR"/>
        </w:rPr>
        <w:t xml:space="preserve">[+margin] </w:t>
      </w:r>
      <w:r w:rsidR="00D426F4">
        <w:rPr>
          <w:lang w:val="en-US" w:eastAsia="ko-KR"/>
        </w:rPr>
        <w:t xml:space="preserve">for TN coverage. </w:t>
      </w:r>
      <w:r w:rsidR="00D426F4" w:rsidRPr="00C928B8">
        <w:rPr>
          <w:lang w:val="en-US" w:eastAsia="ko-KR"/>
        </w:rPr>
        <w:t>Otherwise, UE may not perform measurement of TN frequency</w:t>
      </w:r>
      <w:r w:rsidR="00D426F4">
        <w:rPr>
          <w:lang w:val="en-US" w:eastAsia="ko-KR"/>
        </w:rPr>
        <w:t>.</w:t>
      </w:r>
    </w:p>
    <w:p w14:paraId="43AE5939" w14:textId="77777777" w:rsidR="004509FD" w:rsidRDefault="004509FD" w:rsidP="004509FD">
      <w:pPr>
        <w:pStyle w:val="a0"/>
        <w:jc w:val="both"/>
        <w:rPr>
          <w:lang w:val="en-US" w:eastAsia="ko-KR"/>
        </w:rPr>
      </w:pPr>
    </w:p>
    <w:p w14:paraId="12A1C949" w14:textId="03A19472" w:rsidR="004509FD" w:rsidRDefault="004509FD" w:rsidP="004509FD">
      <w:pPr>
        <w:pStyle w:val="a0"/>
        <w:numPr>
          <w:ilvl w:val="0"/>
          <w:numId w:val="43"/>
        </w:numPr>
        <w:jc w:val="both"/>
        <w:rPr>
          <w:lang w:val="en-US" w:eastAsia="ko-KR"/>
        </w:rPr>
      </w:pPr>
      <w:r w:rsidRPr="00380D4C">
        <w:rPr>
          <w:b/>
          <w:i/>
          <w:lang w:val="en-US" w:eastAsia="ko-KR"/>
        </w:rPr>
        <w:t xml:space="preserve">Proposal </w:t>
      </w:r>
      <w:r w:rsidR="00655149">
        <w:rPr>
          <w:b/>
          <w:i/>
          <w:lang w:val="en-US" w:eastAsia="ko-KR"/>
        </w:rPr>
        <w:t>2</w:t>
      </w:r>
      <w:r>
        <w:rPr>
          <w:lang w:val="en-US" w:eastAsia="ko-KR"/>
        </w:rPr>
        <w:t>: For the measurement requirement of TN frequency layer, measurement condition needs to be added as below.</w:t>
      </w:r>
    </w:p>
    <w:p w14:paraId="6DDAFAA4" w14:textId="74AF6D22" w:rsidR="00D426F4" w:rsidRDefault="00D426F4" w:rsidP="00D426F4">
      <w:pPr>
        <w:pStyle w:val="a0"/>
        <w:numPr>
          <w:ilvl w:val="0"/>
          <w:numId w:val="23"/>
        </w:numPr>
        <w:ind w:left="1701" w:hanging="283"/>
        <w:jc w:val="both"/>
        <w:rPr>
          <w:lang w:val="en-US" w:eastAsia="ko-KR"/>
        </w:rPr>
      </w:pPr>
      <w:r>
        <w:rPr>
          <w:lang w:val="en-US" w:eastAsia="ko-KR"/>
        </w:rPr>
        <w:t xml:space="preserve">If serving cell is NTN and the TN coverage information is provided, UE shall search for and measure TN frequency layers if the distance between UE and the reference location of TN coverage is smaller than distanceThresh </w:t>
      </w:r>
      <w:r w:rsidR="00B7402E">
        <w:rPr>
          <w:lang w:val="en-US" w:eastAsia="ko-KR"/>
        </w:rPr>
        <w:t xml:space="preserve">[+margin] </w:t>
      </w:r>
      <w:r>
        <w:rPr>
          <w:lang w:val="en-US" w:eastAsia="ko-KR"/>
        </w:rPr>
        <w:t xml:space="preserve">for TN coverage. </w:t>
      </w:r>
      <w:r w:rsidRPr="00C928B8">
        <w:rPr>
          <w:lang w:val="en-US" w:eastAsia="ko-KR"/>
        </w:rPr>
        <w:t>Otherwise, UE may not perform measurement of TN frequency</w:t>
      </w:r>
      <w:r>
        <w:rPr>
          <w:lang w:val="en-US" w:eastAsia="ko-KR"/>
        </w:rPr>
        <w:t>.</w:t>
      </w:r>
    </w:p>
    <w:p w14:paraId="08E94FA7" w14:textId="77777777" w:rsidR="004509FD" w:rsidRPr="004509FD" w:rsidRDefault="004509FD" w:rsidP="004509FD">
      <w:pPr>
        <w:pStyle w:val="a0"/>
        <w:rPr>
          <w:lang w:val="en-US" w:eastAsia="ko-KR"/>
        </w:rPr>
      </w:pPr>
    </w:p>
    <w:p w14:paraId="5A14516F" w14:textId="4B669DE3" w:rsidR="008B0831" w:rsidRDefault="008B0831" w:rsidP="008B0831">
      <w:pPr>
        <w:pStyle w:val="20"/>
        <w:rPr>
          <w:lang w:val="en-US" w:eastAsia="ko-KR"/>
        </w:rPr>
      </w:pPr>
      <w:r w:rsidRPr="008B0831">
        <w:rPr>
          <w:lang w:val="en-US" w:eastAsia="ko-KR"/>
        </w:rPr>
        <w:lastRenderedPageBreak/>
        <w:t>NTN-NTN cell reselection enhancements</w:t>
      </w:r>
    </w:p>
    <w:p w14:paraId="532C49AB" w14:textId="239D6D4F" w:rsidR="00F447FC" w:rsidRDefault="0078237C" w:rsidP="00F21A3C">
      <w:pPr>
        <w:pStyle w:val="a0"/>
        <w:jc w:val="both"/>
        <w:rPr>
          <w:lang w:eastAsia="ja-JP"/>
        </w:rPr>
      </w:pPr>
      <w:r>
        <w:rPr>
          <w:lang w:val="en-US" w:eastAsia="ko-KR"/>
        </w:rPr>
        <w:t xml:space="preserve">Based on RAN2 agreements, </w:t>
      </w:r>
      <w:r w:rsidRPr="00157F8D">
        <w:rPr>
          <w:lang w:eastAsia="ja-JP"/>
        </w:rPr>
        <w:t xml:space="preserve">time-based measurement initiation </w:t>
      </w:r>
      <w:r>
        <w:rPr>
          <w:lang w:eastAsia="ja-JP"/>
        </w:rPr>
        <w:t>(</w:t>
      </w:r>
      <w:r w:rsidRPr="009028B9">
        <w:rPr>
          <w:i/>
          <w:lang w:eastAsia="ja-JP"/>
        </w:rPr>
        <w:t>t-Service</w:t>
      </w:r>
      <w:r>
        <w:rPr>
          <w:lang w:eastAsia="ja-JP"/>
        </w:rPr>
        <w:t xml:space="preserve">) </w:t>
      </w:r>
      <w:r w:rsidRPr="00157F8D">
        <w:rPr>
          <w:lang w:eastAsia="ja-JP"/>
        </w:rPr>
        <w:t>is used to address feeder-link switch case</w:t>
      </w:r>
      <w:r>
        <w:rPr>
          <w:lang w:eastAsia="ja-JP"/>
        </w:rPr>
        <w:t xml:space="preserve">, and this includes the implication that that UE should be able to reselect different satellite. </w:t>
      </w:r>
      <w:r w:rsidR="004F5E96">
        <w:rPr>
          <w:lang w:eastAsia="ja-JP"/>
        </w:rPr>
        <w:t xml:space="preserve">In Rel-17, </w:t>
      </w:r>
      <w:r w:rsidR="00F447FC">
        <w:rPr>
          <w:lang w:eastAsia="ja-JP"/>
        </w:rPr>
        <w:t xml:space="preserve">if </w:t>
      </w:r>
      <w:r w:rsidR="00F447FC" w:rsidRPr="009028B9">
        <w:rPr>
          <w:i/>
          <w:lang w:eastAsia="ja-JP"/>
        </w:rPr>
        <w:t>t-Service</w:t>
      </w:r>
      <w:r w:rsidR="00F447FC">
        <w:rPr>
          <w:lang w:eastAsia="ja-JP"/>
        </w:rPr>
        <w:t xml:space="preserve"> is provided, </w:t>
      </w:r>
      <w:r w:rsidR="004F5E96">
        <w:rPr>
          <w:lang w:eastAsia="ja-JP"/>
        </w:rPr>
        <w:t xml:space="preserve">UE shall </w:t>
      </w:r>
      <w:r w:rsidR="00F447FC">
        <w:rPr>
          <w:lang w:eastAsia="ja-JP"/>
        </w:rPr>
        <w:t xml:space="preserve">start measurement of the neigbhor cells indicated by the serving cell before </w:t>
      </w:r>
      <w:r w:rsidR="00F447FC" w:rsidRPr="009028B9">
        <w:rPr>
          <w:i/>
          <w:lang w:eastAsia="ja-JP"/>
        </w:rPr>
        <w:t>t-Service</w:t>
      </w:r>
      <w:r w:rsidR="00F447FC">
        <w:rPr>
          <w:lang w:eastAsia="ja-JP"/>
        </w:rPr>
        <w:t xml:space="preserve"> is reached according to the requirements. If only </w:t>
      </w:r>
      <w:r w:rsidR="00F447FC" w:rsidRPr="009028B9">
        <w:rPr>
          <w:i/>
          <w:lang w:eastAsia="ja-JP"/>
        </w:rPr>
        <w:t>t-Service</w:t>
      </w:r>
      <w:r w:rsidR="00F447FC">
        <w:rPr>
          <w:lang w:eastAsia="ja-JP"/>
        </w:rPr>
        <w:t xml:space="preserve"> is provided without distance threshold for location-based measurement, UE might leave the coverage area of serving cell before </w:t>
      </w:r>
      <w:r w:rsidR="00F447FC" w:rsidRPr="009028B9">
        <w:rPr>
          <w:i/>
          <w:lang w:eastAsia="ja-JP"/>
        </w:rPr>
        <w:t>t-Service</w:t>
      </w:r>
      <w:r w:rsidR="00F447FC">
        <w:rPr>
          <w:lang w:eastAsia="ja-JP"/>
        </w:rPr>
        <w:t xml:space="preserve">. Therefore, if exsiting requirements referring to </w:t>
      </w:r>
      <w:r w:rsidR="00F447FC" w:rsidRPr="009028B9">
        <w:rPr>
          <w:i/>
          <w:lang w:eastAsia="ja-JP"/>
        </w:rPr>
        <w:t>t-Service</w:t>
      </w:r>
      <w:r w:rsidR="00F447FC">
        <w:rPr>
          <w:lang w:eastAsia="ja-JP"/>
        </w:rPr>
        <w:t xml:space="preserve"> for earth-moving cell is reused, the neigbor cell measurement before </w:t>
      </w:r>
      <w:r w:rsidR="00F447FC" w:rsidRPr="009028B9">
        <w:rPr>
          <w:i/>
          <w:lang w:eastAsia="ja-JP"/>
        </w:rPr>
        <w:t>t-Service</w:t>
      </w:r>
      <w:r w:rsidR="00F447FC">
        <w:rPr>
          <w:lang w:eastAsia="ja-JP"/>
        </w:rPr>
        <w:t xml:space="preserve"> cannot be guaranteed. </w:t>
      </w:r>
      <w:r w:rsidR="00EB230C">
        <w:rPr>
          <w:lang w:eastAsia="ja-JP"/>
        </w:rPr>
        <w:t>The following condition should be precluded for earth-moving cell scenario</w:t>
      </w:r>
      <w:r w:rsidR="008D601B">
        <w:rPr>
          <w:lang w:eastAsia="ja-JP"/>
        </w:rPr>
        <w:t xml:space="preserve"> </w:t>
      </w:r>
    </w:p>
    <w:p w14:paraId="192D98E2" w14:textId="126E24A3" w:rsidR="00EB230C" w:rsidRPr="008D601B" w:rsidRDefault="00EB230C" w:rsidP="00EB230C">
      <w:pPr>
        <w:pStyle w:val="a0"/>
        <w:numPr>
          <w:ilvl w:val="0"/>
          <w:numId w:val="23"/>
        </w:numPr>
        <w:jc w:val="both"/>
        <w:rPr>
          <w:rFonts w:eastAsia="MS Mincho"/>
          <w:lang w:eastAsia="ja-JP"/>
        </w:rPr>
      </w:pPr>
      <w:r>
        <w:rPr>
          <w:lang w:eastAsia="ja-JP"/>
        </w:rPr>
        <w:t xml:space="preserve">UE shall start measurement of the neigbhor cells indicated by the serving cell before </w:t>
      </w:r>
      <w:r w:rsidRPr="009028B9">
        <w:rPr>
          <w:i/>
          <w:lang w:eastAsia="ja-JP"/>
        </w:rPr>
        <w:t>t-Service</w:t>
      </w:r>
      <w:r>
        <w:rPr>
          <w:lang w:eastAsia="ja-JP"/>
        </w:rPr>
        <w:t xml:space="preserve"> is reached according to the requirements</w:t>
      </w:r>
    </w:p>
    <w:p w14:paraId="69773D53" w14:textId="1EA0D525" w:rsidR="008D601B" w:rsidRPr="00EB230C" w:rsidRDefault="008D601B" w:rsidP="00EB230C">
      <w:pPr>
        <w:pStyle w:val="a0"/>
        <w:numPr>
          <w:ilvl w:val="0"/>
          <w:numId w:val="23"/>
        </w:numPr>
        <w:jc w:val="both"/>
        <w:rPr>
          <w:rFonts w:eastAsia="MS Mincho"/>
          <w:lang w:eastAsia="ja-JP"/>
        </w:rPr>
      </w:pPr>
      <w:r>
        <w:rPr>
          <w:lang w:eastAsia="ja-JP"/>
        </w:rPr>
        <w:t xml:space="preserve">UE shall be able to detect, measure, and evaluate </w:t>
      </w:r>
      <w:r w:rsidR="008741EA">
        <w:rPr>
          <w:lang w:eastAsia="ja-JP"/>
        </w:rPr>
        <w:t>neighbour cells before the serving cell stops serving the area regardless of whether the distance condition based on serving cell reference location or the legacy Srxlev/Squal condition are met.</w:t>
      </w:r>
    </w:p>
    <w:p w14:paraId="26802BA0" w14:textId="77777777" w:rsidR="00EB230C" w:rsidRDefault="00EB230C" w:rsidP="00EB230C">
      <w:pPr>
        <w:pStyle w:val="a0"/>
        <w:jc w:val="both"/>
        <w:rPr>
          <w:rFonts w:eastAsia="MS Mincho"/>
          <w:lang w:eastAsia="ja-JP"/>
        </w:rPr>
      </w:pPr>
    </w:p>
    <w:p w14:paraId="1B1D9D13" w14:textId="098EF9BA" w:rsidR="008741EA" w:rsidRPr="008741EA" w:rsidRDefault="008741EA" w:rsidP="008741EA">
      <w:pPr>
        <w:pStyle w:val="a0"/>
        <w:numPr>
          <w:ilvl w:val="0"/>
          <w:numId w:val="43"/>
        </w:numPr>
        <w:jc w:val="both"/>
        <w:rPr>
          <w:rFonts w:eastAsiaTheme="minorEastAsia"/>
          <w:lang w:eastAsia="ko-KR"/>
        </w:rPr>
      </w:pPr>
      <w:r w:rsidRPr="008741EA">
        <w:rPr>
          <w:rFonts w:eastAsiaTheme="minorEastAsia"/>
          <w:b/>
          <w:i/>
          <w:lang w:eastAsia="ko-KR"/>
        </w:rPr>
        <w:t>Proposal 3</w:t>
      </w:r>
      <w:r>
        <w:rPr>
          <w:rFonts w:eastAsiaTheme="minorEastAsia"/>
          <w:lang w:eastAsia="ko-KR"/>
        </w:rPr>
        <w:t>: Following conditions should be precluded for time-based measurement (</w:t>
      </w:r>
      <w:r w:rsidRPr="008741EA">
        <w:rPr>
          <w:rFonts w:eastAsiaTheme="minorEastAsia"/>
          <w:i/>
          <w:lang w:eastAsia="ko-KR"/>
        </w:rPr>
        <w:t>t-service</w:t>
      </w:r>
      <w:r>
        <w:rPr>
          <w:rFonts w:eastAsiaTheme="minorEastAsia"/>
          <w:lang w:eastAsia="ko-KR"/>
        </w:rPr>
        <w:t xml:space="preserve">) if </w:t>
      </w:r>
      <w:r w:rsidR="00DA7169">
        <w:rPr>
          <w:lang w:eastAsia="ja-JP"/>
        </w:rPr>
        <w:t xml:space="preserve">exsiting requirements referring to </w:t>
      </w:r>
      <w:r w:rsidR="00DA7169" w:rsidRPr="009028B9">
        <w:rPr>
          <w:i/>
          <w:lang w:eastAsia="ja-JP"/>
        </w:rPr>
        <w:t>t-Service</w:t>
      </w:r>
      <w:r w:rsidR="00DA7169">
        <w:rPr>
          <w:lang w:eastAsia="ja-JP"/>
        </w:rPr>
        <w:t xml:space="preserve"> for earth-moving cell is reused</w:t>
      </w:r>
      <w:r>
        <w:rPr>
          <w:lang w:eastAsia="ja-JP"/>
        </w:rPr>
        <w:t xml:space="preserve"> </w:t>
      </w:r>
    </w:p>
    <w:p w14:paraId="7EC965E6" w14:textId="77777777" w:rsidR="008741EA" w:rsidRPr="008D601B" w:rsidRDefault="008741EA" w:rsidP="008741EA">
      <w:pPr>
        <w:pStyle w:val="a0"/>
        <w:numPr>
          <w:ilvl w:val="0"/>
          <w:numId w:val="23"/>
        </w:numPr>
        <w:ind w:left="1701" w:hanging="283"/>
        <w:jc w:val="both"/>
        <w:rPr>
          <w:rFonts w:eastAsia="MS Mincho"/>
          <w:lang w:eastAsia="ja-JP"/>
        </w:rPr>
      </w:pPr>
      <w:r>
        <w:rPr>
          <w:lang w:eastAsia="ja-JP"/>
        </w:rPr>
        <w:t xml:space="preserve">UE shall start measurement of the neigbhor cells indicated by the serving cell before </w:t>
      </w:r>
      <w:r w:rsidRPr="009028B9">
        <w:rPr>
          <w:i/>
          <w:lang w:eastAsia="ja-JP"/>
        </w:rPr>
        <w:t>t-Service</w:t>
      </w:r>
      <w:r>
        <w:rPr>
          <w:lang w:eastAsia="ja-JP"/>
        </w:rPr>
        <w:t xml:space="preserve"> is reached according to the requirements</w:t>
      </w:r>
    </w:p>
    <w:p w14:paraId="0F571534" w14:textId="77777777" w:rsidR="008741EA" w:rsidRPr="00EB230C" w:rsidRDefault="008741EA" w:rsidP="008741EA">
      <w:pPr>
        <w:pStyle w:val="a0"/>
        <w:numPr>
          <w:ilvl w:val="0"/>
          <w:numId w:val="23"/>
        </w:numPr>
        <w:ind w:left="1701" w:hanging="283"/>
        <w:jc w:val="both"/>
        <w:rPr>
          <w:rFonts w:eastAsia="MS Mincho"/>
          <w:lang w:eastAsia="ja-JP"/>
        </w:rPr>
      </w:pPr>
      <w:r>
        <w:rPr>
          <w:lang w:eastAsia="ja-JP"/>
        </w:rPr>
        <w:t>UE shall be able to detect, measure, and evaluate neighbour cells before the serving cell stops serving the area regardless of whether the distance condition based on serving cell reference location or the legacy Srxlev/Squal condition are met.</w:t>
      </w:r>
    </w:p>
    <w:p w14:paraId="7A418841" w14:textId="77777777" w:rsidR="00A2742A" w:rsidRDefault="00A2742A" w:rsidP="00516E4D">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28814543"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D2053F">
        <w:rPr>
          <w:lang w:val="en-US" w:eastAsia="ko-KR"/>
        </w:rPr>
        <w:t>NR NTN enhancement for RRM requirements related to IDLE/INACTIVE mode mobility</w:t>
      </w:r>
      <w:r w:rsidR="00A116EB">
        <w:rPr>
          <w:lang w:val="en-US" w:eastAsia="ko-KR"/>
        </w:rPr>
        <w:t>, and we propose</w:t>
      </w:r>
    </w:p>
    <w:p w14:paraId="23CFB32D" w14:textId="3837EFE4" w:rsidR="00D2053F" w:rsidRPr="00D2053F" w:rsidRDefault="00DA7169" w:rsidP="003F345F">
      <w:pPr>
        <w:pStyle w:val="a0"/>
        <w:jc w:val="both"/>
        <w:rPr>
          <w:b/>
          <w:u w:val="single"/>
          <w:lang w:val="en-US" w:eastAsia="ko-KR"/>
        </w:rPr>
      </w:pPr>
      <w:r w:rsidRPr="00DA7169">
        <w:rPr>
          <w:b/>
          <w:u w:val="single"/>
          <w:lang w:val="en-US" w:eastAsia="ko-KR"/>
        </w:rPr>
        <w:t>NTN-to-TN cell reselection enhancements</w:t>
      </w:r>
    </w:p>
    <w:p w14:paraId="399581D4" w14:textId="77777777" w:rsidR="00DA7169" w:rsidRPr="00DA7169" w:rsidRDefault="00DA7169" w:rsidP="006949D2">
      <w:pPr>
        <w:pStyle w:val="a0"/>
        <w:numPr>
          <w:ilvl w:val="0"/>
          <w:numId w:val="43"/>
        </w:numPr>
        <w:jc w:val="both"/>
        <w:rPr>
          <w:lang w:val="en-US" w:eastAsia="ko-KR"/>
        </w:rPr>
      </w:pPr>
      <w:r w:rsidRPr="004D5A6A">
        <w:rPr>
          <w:b/>
          <w:i/>
          <w:lang w:val="en-US" w:eastAsia="ko-KR"/>
        </w:rPr>
        <w:t>Proposal 1</w:t>
      </w:r>
      <w:r>
        <w:rPr>
          <w:lang w:val="en-US" w:eastAsia="ko-KR"/>
        </w:rPr>
        <w:t>: RAN4 to wait for RAN2 conclusion on TN to NTN cell reselection</w:t>
      </w:r>
      <w:r w:rsidRPr="00145C9E">
        <w:rPr>
          <w:b/>
          <w:i/>
          <w:lang w:val="en-US" w:eastAsia="ko-KR"/>
        </w:rPr>
        <w:t xml:space="preserve"> </w:t>
      </w:r>
    </w:p>
    <w:p w14:paraId="082EA20D" w14:textId="77777777" w:rsidR="00DA7169" w:rsidRDefault="00DA7169" w:rsidP="00DA7169">
      <w:pPr>
        <w:pStyle w:val="a0"/>
        <w:numPr>
          <w:ilvl w:val="0"/>
          <w:numId w:val="43"/>
        </w:numPr>
        <w:jc w:val="both"/>
        <w:rPr>
          <w:lang w:val="en-US" w:eastAsia="ko-KR"/>
        </w:rPr>
      </w:pPr>
      <w:r w:rsidRPr="00380D4C">
        <w:rPr>
          <w:b/>
          <w:i/>
          <w:lang w:val="en-US" w:eastAsia="ko-KR"/>
        </w:rPr>
        <w:t xml:space="preserve">Proposal </w:t>
      </w:r>
      <w:r>
        <w:rPr>
          <w:b/>
          <w:i/>
          <w:lang w:val="en-US" w:eastAsia="ko-KR"/>
        </w:rPr>
        <w:t>2</w:t>
      </w:r>
      <w:r>
        <w:rPr>
          <w:lang w:val="en-US" w:eastAsia="ko-KR"/>
        </w:rPr>
        <w:t>: For the measurement requirement of TN frequency layer, measurement condition needs to be added as below.</w:t>
      </w:r>
    </w:p>
    <w:p w14:paraId="50F03F0E" w14:textId="715A0634" w:rsidR="00F44A20" w:rsidRPr="00DA7169" w:rsidRDefault="00DA7169" w:rsidP="00DA7169">
      <w:pPr>
        <w:pStyle w:val="a0"/>
        <w:numPr>
          <w:ilvl w:val="0"/>
          <w:numId w:val="23"/>
        </w:numPr>
        <w:ind w:left="1701" w:hanging="283"/>
        <w:jc w:val="both"/>
        <w:rPr>
          <w:lang w:val="en-US" w:eastAsia="ko-KR"/>
        </w:rPr>
      </w:pPr>
      <w:r>
        <w:rPr>
          <w:lang w:val="en-US" w:eastAsia="ko-KR"/>
        </w:rPr>
        <w:t xml:space="preserve">If serving cell is NTN and the TN coverage information is provided, UE shall search for and measure TN frequency layers if the distance between UE and the reference location of TN coverage is smaller than distanceThresh [+margin] for TN coverage. </w:t>
      </w:r>
      <w:r w:rsidRPr="00C928B8">
        <w:rPr>
          <w:lang w:val="en-US" w:eastAsia="ko-KR"/>
        </w:rPr>
        <w:t>Otherwise, UE may not perform measurement of TN frequency</w:t>
      </w:r>
      <w:r>
        <w:rPr>
          <w:lang w:val="en-US" w:eastAsia="ko-KR"/>
        </w:rPr>
        <w:t>.</w:t>
      </w:r>
      <w:r w:rsidR="00F44A20" w:rsidRPr="00DA7169">
        <w:rPr>
          <w:lang w:val="en-US" w:eastAsia="ko-KR"/>
        </w:rPr>
        <w:t xml:space="preserve"> </w:t>
      </w:r>
    </w:p>
    <w:p w14:paraId="2BE5AC93" w14:textId="77777777" w:rsidR="00380D4C" w:rsidRPr="00F44A20" w:rsidRDefault="00380D4C" w:rsidP="00DA7169">
      <w:pPr>
        <w:pStyle w:val="a0"/>
        <w:jc w:val="both"/>
        <w:rPr>
          <w:lang w:val="en-US" w:eastAsia="ko-KR"/>
        </w:rPr>
      </w:pPr>
    </w:p>
    <w:p w14:paraId="420540C3" w14:textId="37D45F04" w:rsidR="00D2053F" w:rsidRPr="00D2053F" w:rsidRDefault="00DA7169" w:rsidP="00D2053F">
      <w:pPr>
        <w:pStyle w:val="a0"/>
        <w:jc w:val="both"/>
        <w:rPr>
          <w:b/>
          <w:u w:val="single"/>
          <w:lang w:val="en-US" w:eastAsia="ko-KR"/>
        </w:rPr>
      </w:pPr>
      <w:r w:rsidRPr="00DA7169">
        <w:rPr>
          <w:b/>
          <w:u w:val="single"/>
          <w:lang w:val="en-US" w:eastAsia="ko-KR"/>
        </w:rPr>
        <w:t>NTN-NTN cell reselection enhancements</w:t>
      </w:r>
    </w:p>
    <w:p w14:paraId="097E66BB" w14:textId="77777777" w:rsidR="00DA7169" w:rsidRPr="008741EA" w:rsidRDefault="00DA7169" w:rsidP="00DA7169">
      <w:pPr>
        <w:pStyle w:val="a0"/>
        <w:numPr>
          <w:ilvl w:val="0"/>
          <w:numId w:val="43"/>
        </w:numPr>
        <w:jc w:val="both"/>
        <w:rPr>
          <w:rFonts w:eastAsiaTheme="minorEastAsia"/>
          <w:lang w:eastAsia="ko-KR"/>
        </w:rPr>
      </w:pPr>
      <w:r w:rsidRPr="008741EA">
        <w:rPr>
          <w:rFonts w:eastAsiaTheme="minorEastAsia"/>
          <w:b/>
          <w:i/>
          <w:lang w:eastAsia="ko-KR"/>
        </w:rPr>
        <w:t>Proposal 3</w:t>
      </w:r>
      <w:r>
        <w:rPr>
          <w:rFonts w:eastAsiaTheme="minorEastAsia"/>
          <w:lang w:eastAsia="ko-KR"/>
        </w:rPr>
        <w:t>: Following conditions should be precluded for time-based measurement (</w:t>
      </w:r>
      <w:r w:rsidRPr="008741EA">
        <w:rPr>
          <w:rFonts w:eastAsiaTheme="minorEastAsia"/>
          <w:i/>
          <w:lang w:eastAsia="ko-KR"/>
        </w:rPr>
        <w:t>t-service</w:t>
      </w:r>
      <w:r>
        <w:rPr>
          <w:rFonts w:eastAsiaTheme="minorEastAsia"/>
          <w:lang w:eastAsia="ko-KR"/>
        </w:rPr>
        <w:t xml:space="preserve">) if </w:t>
      </w:r>
      <w:r>
        <w:rPr>
          <w:lang w:eastAsia="ja-JP"/>
        </w:rPr>
        <w:t xml:space="preserve">exsiting requirements referring to </w:t>
      </w:r>
      <w:r w:rsidRPr="009028B9">
        <w:rPr>
          <w:i/>
          <w:lang w:eastAsia="ja-JP"/>
        </w:rPr>
        <w:t>t-Service</w:t>
      </w:r>
      <w:r>
        <w:rPr>
          <w:lang w:eastAsia="ja-JP"/>
        </w:rPr>
        <w:t xml:space="preserve"> for earth-moving cell is reused </w:t>
      </w:r>
    </w:p>
    <w:p w14:paraId="5137D87E" w14:textId="77777777" w:rsidR="00DA7169" w:rsidRPr="008D601B" w:rsidRDefault="00DA7169" w:rsidP="00DA7169">
      <w:pPr>
        <w:pStyle w:val="a0"/>
        <w:numPr>
          <w:ilvl w:val="0"/>
          <w:numId w:val="23"/>
        </w:numPr>
        <w:ind w:left="1701" w:hanging="283"/>
        <w:jc w:val="both"/>
        <w:rPr>
          <w:rFonts w:eastAsia="MS Mincho"/>
          <w:lang w:eastAsia="ja-JP"/>
        </w:rPr>
      </w:pPr>
      <w:r>
        <w:rPr>
          <w:lang w:eastAsia="ja-JP"/>
        </w:rPr>
        <w:t xml:space="preserve">UE shall start measurement of the neigbhor cells indicated by the serving cell before </w:t>
      </w:r>
      <w:r w:rsidRPr="009028B9">
        <w:rPr>
          <w:i/>
          <w:lang w:eastAsia="ja-JP"/>
        </w:rPr>
        <w:t>t-Service</w:t>
      </w:r>
      <w:r>
        <w:rPr>
          <w:lang w:eastAsia="ja-JP"/>
        </w:rPr>
        <w:t xml:space="preserve"> is reached according to the requirements</w:t>
      </w:r>
    </w:p>
    <w:p w14:paraId="66793B54" w14:textId="77777777" w:rsidR="00DA7169" w:rsidRPr="00EB230C" w:rsidRDefault="00DA7169" w:rsidP="00DA7169">
      <w:pPr>
        <w:pStyle w:val="a0"/>
        <w:numPr>
          <w:ilvl w:val="0"/>
          <w:numId w:val="23"/>
        </w:numPr>
        <w:ind w:left="1701" w:hanging="283"/>
        <w:jc w:val="both"/>
        <w:rPr>
          <w:rFonts w:eastAsia="MS Mincho"/>
          <w:lang w:eastAsia="ja-JP"/>
        </w:rPr>
      </w:pPr>
      <w:r>
        <w:rPr>
          <w:lang w:eastAsia="ja-JP"/>
        </w:rPr>
        <w:t>UE shall be able to detect, measure, and evaluate neighbour cells before the serving cell stops serving the area regardless of whether the distance condition based on serving cell reference location or the legacy Srxlev/Squal condition are met.</w:t>
      </w:r>
    </w:p>
    <w:p w14:paraId="5E25323B" w14:textId="77777777" w:rsidR="004E08EF" w:rsidRPr="00DA7169" w:rsidRDefault="004E08EF"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5608E8DC"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7818AA">
        <w:rPr>
          <w:lang w:val="en-US" w:eastAsia="ko-KR"/>
        </w:rPr>
        <w:t>R4-</w:t>
      </w:r>
      <w:r w:rsidR="00A277FF" w:rsidRPr="00A277FF">
        <w:rPr>
          <w:lang w:val="en-US" w:eastAsia="ko-KR"/>
        </w:rPr>
        <w:t>2314447</w:t>
      </w:r>
      <w:r w:rsidR="007818AA">
        <w:rPr>
          <w:lang w:val="en-US" w:eastAsia="ko-KR"/>
        </w:rPr>
        <w:t xml:space="preserve">, </w:t>
      </w:r>
      <w:r w:rsidR="00A277FF">
        <w:rPr>
          <w:lang w:val="en-US" w:eastAsia="ko-KR"/>
        </w:rPr>
        <w:t>“</w:t>
      </w:r>
      <w:r w:rsidR="00A277FF" w:rsidRPr="00A277FF">
        <w:rPr>
          <w:lang w:val="en-US" w:eastAsia="ko-KR"/>
        </w:rPr>
        <w:t>WF on R18 NR NTN RRM requirements</w:t>
      </w:r>
      <w:r w:rsidR="007818AA">
        <w:rPr>
          <w:lang w:val="en-US" w:eastAsia="ko-KR"/>
        </w:rPr>
        <w:t>,</w:t>
      </w:r>
      <w:r w:rsidR="00D4614C">
        <w:rPr>
          <w:lang w:val="en-US" w:eastAsia="ko-KR"/>
        </w:rPr>
        <w:t>”</w:t>
      </w:r>
      <w:r w:rsidR="007818AA">
        <w:rPr>
          <w:lang w:val="en-US" w:eastAsia="ko-KR"/>
        </w:rPr>
        <w:t xml:space="preserve"> </w:t>
      </w:r>
      <w:r w:rsidR="007818AA" w:rsidRPr="007818AA">
        <w:rPr>
          <w:lang w:val="en-US" w:eastAsia="ko-KR"/>
        </w:rPr>
        <w:t>Qualcomm Incorporated</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93745" w14:textId="77777777" w:rsidR="00694486" w:rsidRDefault="00694486" w:rsidP="00D306DF">
      <w:r>
        <w:separator/>
      </w:r>
    </w:p>
  </w:endnote>
  <w:endnote w:type="continuationSeparator" w:id="0">
    <w:p w14:paraId="39B33B1B" w14:textId="77777777" w:rsidR="00694486" w:rsidRDefault="0069448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11DA1" w14:textId="77777777" w:rsidR="00694486" w:rsidRDefault="00694486" w:rsidP="00D306DF">
      <w:r>
        <w:separator/>
      </w:r>
    </w:p>
  </w:footnote>
  <w:footnote w:type="continuationSeparator" w:id="0">
    <w:p w14:paraId="0B3A4915" w14:textId="77777777" w:rsidR="00694486" w:rsidRDefault="0069448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55pt;height:12.55pt" o:bullet="t">
        <v:imagedata r:id="rId1" o:title="artF6B5"/>
      </v:shape>
    </w:pict>
  </w:numPicBullet>
  <w:numPicBullet w:numPicBulletId="1">
    <w:pict>
      <v:shape id="_x0000_i1029" type="#_x0000_t75" style="width:12.55pt;height:12.55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AB7AE814"/>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1D91F9D"/>
    <w:multiLevelType w:val="hybridMultilevel"/>
    <w:tmpl w:val="13DAD258"/>
    <w:lvl w:ilvl="0" w:tplc="0F30EB44">
      <w:start w:val="1"/>
      <w:numFmt w:val="bullet"/>
      <w:lvlText w:val=""/>
      <w:lvlJc w:val="left"/>
      <w:pPr>
        <w:tabs>
          <w:tab w:val="num" w:pos="720"/>
        </w:tabs>
        <w:ind w:left="720" w:hanging="360"/>
      </w:pPr>
      <w:rPr>
        <w:rFonts w:ascii="Wingdings" w:hAnsi="Wingdings" w:hint="default"/>
      </w:rPr>
    </w:lvl>
    <w:lvl w:ilvl="1" w:tplc="4B902606" w:tentative="1">
      <w:start w:val="1"/>
      <w:numFmt w:val="bullet"/>
      <w:lvlText w:val=""/>
      <w:lvlJc w:val="left"/>
      <w:pPr>
        <w:tabs>
          <w:tab w:val="num" w:pos="1440"/>
        </w:tabs>
        <w:ind w:left="1440" w:hanging="360"/>
      </w:pPr>
      <w:rPr>
        <w:rFonts w:ascii="Wingdings" w:hAnsi="Wingdings" w:hint="default"/>
      </w:rPr>
    </w:lvl>
    <w:lvl w:ilvl="2" w:tplc="0D1686A8">
      <w:start w:val="1"/>
      <w:numFmt w:val="bullet"/>
      <w:lvlText w:val=""/>
      <w:lvlJc w:val="left"/>
      <w:pPr>
        <w:tabs>
          <w:tab w:val="num" w:pos="2160"/>
        </w:tabs>
        <w:ind w:left="2160" w:hanging="360"/>
      </w:pPr>
      <w:rPr>
        <w:rFonts w:ascii="Wingdings" w:hAnsi="Wingdings" w:hint="default"/>
      </w:rPr>
    </w:lvl>
    <w:lvl w:ilvl="3" w:tplc="5C3A80F4" w:tentative="1">
      <w:start w:val="1"/>
      <w:numFmt w:val="bullet"/>
      <w:lvlText w:val=""/>
      <w:lvlJc w:val="left"/>
      <w:pPr>
        <w:tabs>
          <w:tab w:val="num" w:pos="2880"/>
        </w:tabs>
        <w:ind w:left="2880" w:hanging="360"/>
      </w:pPr>
      <w:rPr>
        <w:rFonts w:ascii="Wingdings" w:hAnsi="Wingdings" w:hint="default"/>
      </w:rPr>
    </w:lvl>
    <w:lvl w:ilvl="4" w:tplc="B5481152" w:tentative="1">
      <w:start w:val="1"/>
      <w:numFmt w:val="bullet"/>
      <w:lvlText w:val=""/>
      <w:lvlJc w:val="left"/>
      <w:pPr>
        <w:tabs>
          <w:tab w:val="num" w:pos="3600"/>
        </w:tabs>
        <w:ind w:left="3600" w:hanging="360"/>
      </w:pPr>
      <w:rPr>
        <w:rFonts w:ascii="Wingdings" w:hAnsi="Wingdings" w:hint="default"/>
      </w:rPr>
    </w:lvl>
    <w:lvl w:ilvl="5" w:tplc="D94E373A" w:tentative="1">
      <w:start w:val="1"/>
      <w:numFmt w:val="bullet"/>
      <w:lvlText w:val=""/>
      <w:lvlJc w:val="left"/>
      <w:pPr>
        <w:tabs>
          <w:tab w:val="num" w:pos="4320"/>
        </w:tabs>
        <w:ind w:left="4320" w:hanging="360"/>
      </w:pPr>
      <w:rPr>
        <w:rFonts w:ascii="Wingdings" w:hAnsi="Wingdings" w:hint="default"/>
      </w:rPr>
    </w:lvl>
    <w:lvl w:ilvl="6" w:tplc="3BE8B228" w:tentative="1">
      <w:start w:val="1"/>
      <w:numFmt w:val="bullet"/>
      <w:lvlText w:val=""/>
      <w:lvlJc w:val="left"/>
      <w:pPr>
        <w:tabs>
          <w:tab w:val="num" w:pos="5040"/>
        </w:tabs>
        <w:ind w:left="5040" w:hanging="360"/>
      </w:pPr>
      <w:rPr>
        <w:rFonts w:ascii="Wingdings" w:hAnsi="Wingdings" w:hint="default"/>
      </w:rPr>
    </w:lvl>
    <w:lvl w:ilvl="7" w:tplc="4D60ACD8" w:tentative="1">
      <w:start w:val="1"/>
      <w:numFmt w:val="bullet"/>
      <w:lvlText w:val=""/>
      <w:lvlJc w:val="left"/>
      <w:pPr>
        <w:tabs>
          <w:tab w:val="num" w:pos="5760"/>
        </w:tabs>
        <w:ind w:left="5760" w:hanging="360"/>
      </w:pPr>
      <w:rPr>
        <w:rFonts w:ascii="Wingdings" w:hAnsi="Wingdings" w:hint="default"/>
      </w:rPr>
    </w:lvl>
    <w:lvl w:ilvl="8" w:tplc="5F3025B8" w:tentative="1">
      <w:start w:val="1"/>
      <w:numFmt w:val="bullet"/>
      <w:lvlText w:val=""/>
      <w:lvlJc w:val="left"/>
      <w:pPr>
        <w:tabs>
          <w:tab w:val="num" w:pos="6480"/>
        </w:tabs>
        <w:ind w:left="6480" w:hanging="360"/>
      </w:pPr>
      <w:rPr>
        <w:rFonts w:ascii="Wingdings" w:hAnsi="Wingdings" w:hint="default"/>
      </w:rPr>
    </w:lvl>
  </w:abstractNum>
  <w:abstractNum w:abstractNumId="4">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E13841"/>
    <w:multiLevelType w:val="hybridMultilevel"/>
    <w:tmpl w:val="77CE8968"/>
    <w:lvl w:ilvl="0" w:tplc="840AF98E">
      <w:start w:val="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2B940E0"/>
    <w:multiLevelType w:val="hybridMultilevel"/>
    <w:tmpl w:val="3588335C"/>
    <w:lvl w:ilvl="0" w:tplc="A9F0C942">
      <w:start w:val="1"/>
      <w:numFmt w:val="bullet"/>
      <w:lvlText w:val=""/>
      <w:lvlJc w:val="left"/>
      <w:pPr>
        <w:tabs>
          <w:tab w:val="num" w:pos="720"/>
        </w:tabs>
        <w:ind w:left="720" w:hanging="360"/>
      </w:pPr>
      <w:rPr>
        <w:rFonts w:ascii="Wingdings" w:hAnsi="Wingdings" w:hint="default"/>
      </w:rPr>
    </w:lvl>
    <w:lvl w:ilvl="1" w:tplc="9718FB20" w:tentative="1">
      <w:start w:val="1"/>
      <w:numFmt w:val="bullet"/>
      <w:lvlText w:val=""/>
      <w:lvlJc w:val="left"/>
      <w:pPr>
        <w:tabs>
          <w:tab w:val="num" w:pos="1440"/>
        </w:tabs>
        <w:ind w:left="1440" w:hanging="360"/>
      </w:pPr>
      <w:rPr>
        <w:rFonts w:ascii="Wingdings" w:hAnsi="Wingdings" w:hint="default"/>
      </w:rPr>
    </w:lvl>
    <w:lvl w:ilvl="2" w:tplc="C3ECAD72">
      <w:start w:val="1"/>
      <w:numFmt w:val="bullet"/>
      <w:lvlText w:val=""/>
      <w:lvlJc w:val="left"/>
      <w:pPr>
        <w:tabs>
          <w:tab w:val="num" w:pos="2160"/>
        </w:tabs>
        <w:ind w:left="2160" w:hanging="360"/>
      </w:pPr>
      <w:rPr>
        <w:rFonts w:ascii="Wingdings" w:hAnsi="Wingdings" w:hint="default"/>
      </w:rPr>
    </w:lvl>
    <w:lvl w:ilvl="3" w:tplc="85580B58" w:tentative="1">
      <w:start w:val="1"/>
      <w:numFmt w:val="bullet"/>
      <w:lvlText w:val=""/>
      <w:lvlJc w:val="left"/>
      <w:pPr>
        <w:tabs>
          <w:tab w:val="num" w:pos="2880"/>
        </w:tabs>
        <w:ind w:left="2880" w:hanging="360"/>
      </w:pPr>
      <w:rPr>
        <w:rFonts w:ascii="Wingdings" w:hAnsi="Wingdings" w:hint="default"/>
      </w:rPr>
    </w:lvl>
    <w:lvl w:ilvl="4" w:tplc="A6BE4F84" w:tentative="1">
      <w:start w:val="1"/>
      <w:numFmt w:val="bullet"/>
      <w:lvlText w:val=""/>
      <w:lvlJc w:val="left"/>
      <w:pPr>
        <w:tabs>
          <w:tab w:val="num" w:pos="3600"/>
        </w:tabs>
        <w:ind w:left="3600" w:hanging="360"/>
      </w:pPr>
      <w:rPr>
        <w:rFonts w:ascii="Wingdings" w:hAnsi="Wingdings" w:hint="default"/>
      </w:rPr>
    </w:lvl>
    <w:lvl w:ilvl="5" w:tplc="F774D450" w:tentative="1">
      <w:start w:val="1"/>
      <w:numFmt w:val="bullet"/>
      <w:lvlText w:val=""/>
      <w:lvlJc w:val="left"/>
      <w:pPr>
        <w:tabs>
          <w:tab w:val="num" w:pos="4320"/>
        </w:tabs>
        <w:ind w:left="4320" w:hanging="360"/>
      </w:pPr>
      <w:rPr>
        <w:rFonts w:ascii="Wingdings" w:hAnsi="Wingdings" w:hint="default"/>
      </w:rPr>
    </w:lvl>
    <w:lvl w:ilvl="6" w:tplc="A1D601D2" w:tentative="1">
      <w:start w:val="1"/>
      <w:numFmt w:val="bullet"/>
      <w:lvlText w:val=""/>
      <w:lvlJc w:val="left"/>
      <w:pPr>
        <w:tabs>
          <w:tab w:val="num" w:pos="5040"/>
        </w:tabs>
        <w:ind w:left="5040" w:hanging="360"/>
      </w:pPr>
      <w:rPr>
        <w:rFonts w:ascii="Wingdings" w:hAnsi="Wingdings" w:hint="default"/>
      </w:rPr>
    </w:lvl>
    <w:lvl w:ilvl="7" w:tplc="4502D110" w:tentative="1">
      <w:start w:val="1"/>
      <w:numFmt w:val="bullet"/>
      <w:lvlText w:val=""/>
      <w:lvlJc w:val="left"/>
      <w:pPr>
        <w:tabs>
          <w:tab w:val="num" w:pos="5760"/>
        </w:tabs>
        <w:ind w:left="5760" w:hanging="360"/>
      </w:pPr>
      <w:rPr>
        <w:rFonts w:ascii="Wingdings" w:hAnsi="Wingdings" w:hint="default"/>
      </w:rPr>
    </w:lvl>
    <w:lvl w:ilvl="8" w:tplc="D7265CC8" w:tentative="1">
      <w:start w:val="1"/>
      <w:numFmt w:val="bullet"/>
      <w:lvlText w:val=""/>
      <w:lvlJc w:val="left"/>
      <w:pPr>
        <w:tabs>
          <w:tab w:val="num" w:pos="6480"/>
        </w:tabs>
        <w:ind w:left="6480" w:hanging="360"/>
      </w:pPr>
      <w:rPr>
        <w:rFonts w:ascii="Wingdings" w:hAnsi="Wingdings" w:hint="default"/>
      </w:rPr>
    </w:lvl>
  </w:abstractNum>
  <w:abstractNum w:abstractNumId="11">
    <w:nsid w:val="234F50FC"/>
    <w:multiLevelType w:val="hybridMultilevel"/>
    <w:tmpl w:val="C1DEE3A8"/>
    <w:lvl w:ilvl="0" w:tplc="0D9EB68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25933BF"/>
    <w:multiLevelType w:val="hybridMultilevel"/>
    <w:tmpl w:val="A3C08682"/>
    <w:lvl w:ilvl="0" w:tplc="8EB63F68">
      <w:start w:val="1"/>
      <w:numFmt w:val="bullet"/>
      <w:lvlText w:val=""/>
      <w:lvlJc w:val="left"/>
      <w:pPr>
        <w:tabs>
          <w:tab w:val="num" w:pos="720"/>
        </w:tabs>
        <w:ind w:left="720" w:hanging="360"/>
      </w:pPr>
      <w:rPr>
        <w:rFonts w:ascii="Wingdings" w:hAnsi="Wingdings" w:hint="default"/>
      </w:rPr>
    </w:lvl>
    <w:lvl w:ilvl="1" w:tplc="002E37BE" w:tentative="1">
      <w:start w:val="1"/>
      <w:numFmt w:val="bullet"/>
      <w:lvlText w:val=""/>
      <w:lvlJc w:val="left"/>
      <w:pPr>
        <w:tabs>
          <w:tab w:val="num" w:pos="1440"/>
        </w:tabs>
        <w:ind w:left="1440" w:hanging="360"/>
      </w:pPr>
      <w:rPr>
        <w:rFonts w:ascii="Wingdings" w:hAnsi="Wingdings" w:hint="default"/>
      </w:rPr>
    </w:lvl>
    <w:lvl w:ilvl="2" w:tplc="DA6E63D4">
      <w:start w:val="1"/>
      <w:numFmt w:val="bullet"/>
      <w:lvlText w:val=""/>
      <w:lvlJc w:val="left"/>
      <w:pPr>
        <w:tabs>
          <w:tab w:val="num" w:pos="2160"/>
        </w:tabs>
        <w:ind w:left="2160" w:hanging="360"/>
      </w:pPr>
      <w:rPr>
        <w:rFonts w:ascii="Wingdings" w:hAnsi="Wingdings" w:hint="default"/>
      </w:rPr>
    </w:lvl>
    <w:lvl w:ilvl="3" w:tplc="45948C82" w:tentative="1">
      <w:start w:val="1"/>
      <w:numFmt w:val="bullet"/>
      <w:lvlText w:val=""/>
      <w:lvlJc w:val="left"/>
      <w:pPr>
        <w:tabs>
          <w:tab w:val="num" w:pos="2880"/>
        </w:tabs>
        <w:ind w:left="2880" w:hanging="360"/>
      </w:pPr>
      <w:rPr>
        <w:rFonts w:ascii="Wingdings" w:hAnsi="Wingdings" w:hint="default"/>
      </w:rPr>
    </w:lvl>
    <w:lvl w:ilvl="4" w:tplc="EEFCCA1A" w:tentative="1">
      <w:start w:val="1"/>
      <w:numFmt w:val="bullet"/>
      <w:lvlText w:val=""/>
      <w:lvlJc w:val="left"/>
      <w:pPr>
        <w:tabs>
          <w:tab w:val="num" w:pos="3600"/>
        </w:tabs>
        <w:ind w:left="3600" w:hanging="360"/>
      </w:pPr>
      <w:rPr>
        <w:rFonts w:ascii="Wingdings" w:hAnsi="Wingdings" w:hint="default"/>
      </w:rPr>
    </w:lvl>
    <w:lvl w:ilvl="5" w:tplc="E7EA8074" w:tentative="1">
      <w:start w:val="1"/>
      <w:numFmt w:val="bullet"/>
      <w:lvlText w:val=""/>
      <w:lvlJc w:val="left"/>
      <w:pPr>
        <w:tabs>
          <w:tab w:val="num" w:pos="4320"/>
        </w:tabs>
        <w:ind w:left="4320" w:hanging="360"/>
      </w:pPr>
      <w:rPr>
        <w:rFonts w:ascii="Wingdings" w:hAnsi="Wingdings" w:hint="default"/>
      </w:rPr>
    </w:lvl>
    <w:lvl w:ilvl="6" w:tplc="5F246058" w:tentative="1">
      <w:start w:val="1"/>
      <w:numFmt w:val="bullet"/>
      <w:lvlText w:val=""/>
      <w:lvlJc w:val="left"/>
      <w:pPr>
        <w:tabs>
          <w:tab w:val="num" w:pos="5040"/>
        </w:tabs>
        <w:ind w:left="5040" w:hanging="360"/>
      </w:pPr>
      <w:rPr>
        <w:rFonts w:ascii="Wingdings" w:hAnsi="Wingdings" w:hint="default"/>
      </w:rPr>
    </w:lvl>
    <w:lvl w:ilvl="7" w:tplc="7D127B8A" w:tentative="1">
      <w:start w:val="1"/>
      <w:numFmt w:val="bullet"/>
      <w:lvlText w:val=""/>
      <w:lvlJc w:val="left"/>
      <w:pPr>
        <w:tabs>
          <w:tab w:val="num" w:pos="5760"/>
        </w:tabs>
        <w:ind w:left="5760" w:hanging="360"/>
      </w:pPr>
      <w:rPr>
        <w:rFonts w:ascii="Wingdings" w:hAnsi="Wingdings" w:hint="default"/>
      </w:rPr>
    </w:lvl>
    <w:lvl w:ilvl="8" w:tplc="FFA608E4" w:tentative="1">
      <w:start w:val="1"/>
      <w:numFmt w:val="bullet"/>
      <w:lvlText w:val=""/>
      <w:lvlJc w:val="left"/>
      <w:pPr>
        <w:tabs>
          <w:tab w:val="num" w:pos="6480"/>
        </w:tabs>
        <w:ind w:left="6480" w:hanging="360"/>
      </w:pPr>
      <w:rPr>
        <w:rFonts w:ascii="Wingdings" w:hAnsi="Wingdings" w:hint="default"/>
      </w:rPr>
    </w:lvl>
  </w:abstractNum>
  <w:abstractNum w:abstractNumId="18">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06B2E9B"/>
    <w:multiLevelType w:val="hybridMultilevel"/>
    <w:tmpl w:val="3BE04F80"/>
    <w:lvl w:ilvl="0" w:tplc="31C6F4EA">
      <w:start w:val="1"/>
      <w:numFmt w:val="bullet"/>
      <w:lvlText w:val=""/>
      <w:lvlPicBulletId w:val="1"/>
      <w:lvlJc w:val="left"/>
      <w:pPr>
        <w:tabs>
          <w:tab w:val="num" w:pos="720"/>
        </w:tabs>
        <w:ind w:left="720" w:hanging="360"/>
      </w:pPr>
      <w:rPr>
        <w:rFonts w:ascii="Symbol" w:hAnsi="Symbol" w:hint="default"/>
      </w:rPr>
    </w:lvl>
    <w:lvl w:ilvl="1" w:tplc="779AF24E" w:tentative="1">
      <w:start w:val="1"/>
      <w:numFmt w:val="bullet"/>
      <w:lvlText w:val=""/>
      <w:lvlPicBulletId w:val="1"/>
      <w:lvlJc w:val="left"/>
      <w:pPr>
        <w:tabs>
          <w:tab w:val="num" w:pos="1440"/>
        </w:tabs>
        <w:ind w:left="1440" w:hanging="360"/>
      </w:pPr>
      <w:rPr>
        <w:rFonts w:ascii="Symbol" w:hAnsi="Symbol" w:hint="default"/>
      </w:rPr>
    </w:lvl>
    <w:lvl w:ilvl="2" w:tplc="2D04742C" w:tentative="1">
      <w:start w:val="1"/>
      <w:numFmt w:val="bullet"/>
      <w:lvlText w:val=""/>
      <w:lvlPicBulletId w:val="1"/>
      <w:lvlJc w:val="left"/>
      <w:pPr>
        <w:tabs>
          <w:tab w:val="num" w:pos="2160"/>
        </w:tabs>
        <w:ind w:left="2160" w:hanging="360"/>
      </w:pPr>
      <w:rPr>
        <w:rFonts w:ascii="Symbol" w:hAnsi="Symbol" w:hint="default"/>
      </w:rPr>
    </w:lvl>
    <w:lvl w:ilvl="3" w:tplc="3E409F5C">
      <w:start w:val="1"/>
      <w:numFmt w:val="bullet"/>
      <w:lvlText w:val=""/>
      <w:lvlPicBulletId w:val="1"/>
      <w:lvlJc w:val="left"/>
      <w:pPr>
        <w:tabs>
          <w:tab w:val="num" w:pos="2880"/>
        </w:tabs>
        <w:ind w:left="2880" w:hanging="360"/>
      </w:pPr>
      <w:rPr>
        <w:rFonts w:ascii="Symbol" w:hAnsi="Symbol" w:hint="default"/>
      </w:rPr>
    </w:lvl>
    <w:lvl w:ilvl="4" w:tplc="FFDC5928" w:tentative="1">
      <w:start w:val="1"/>
      <w:numFmt w:val="bullet"/>
      <w:lvlText w:val=""/>
      <w:lvlPicBulletId w:val="1"/>
      <w:lvlJc w:val="left"/>
      <w:pPr>
        <w:tabs>
          <w:tab w:val="num" w:pos="3600"/>
        </w:tabs>
        <w:ind w:left="3600" w:hanging="360"/>
      </w:pPr>
      <w:rPr>
        <w:rFonts w:ascii="Symbol" w:hAnsi="Symbol" w:hint="default"/>
      </w:rPr>
    </w:lvl>
    <w:lvl w:ilvl="5" w:tplc="E0CA5CAE" w:tentative="1">
      <w:start w:val="1"/>
      <w:numFmt w:val="bullet"/>
      <w:lvlText w:val=""/>
      <w:lvlPicBulletId w:val="1"/>
      <w:lvlJc w:val="left"/>
      <w:pPr>
        <w:tabs>
          <w:tab w:val="num" w:pos="4320"/>
        </w:tabs>
        <w:ind w:left="4320" w:hanging="360"/>
      </w:pPr>
      <w:rPr>
        <w:rFonts w:ascii="Symbol" w:hAnsi="Symbol" w:hint="default"/>
      </w:rPr>
    </w:lvl>
    <w:lvl w:ilvl="6" w:tplc="DBE0D02C" w:tentative="1">
      <w:start w:val="1"/>
      <w:numFmt w:val="bullet"/>
      <w:lvlText w:val=""/>
      <w:lvlPicBulletId w:val="1"/>
      <w:lvlJc w:val="left"/>
      <w:pPr>
        <w:tabs>
          <w:tab w:val="num" w:pos="5040"/>
        </w:tabs>
        <w:ind w:left="5040" w:hanging="360"/>
      </w:pPr>
      <w:rPr>
        <w:rFonts w:ascii="Symbol" w:hAnsi="Symbol" w:hint="default"/>
      </w:rPr>
    </w:lvl>
    <w:lvl w:ilvl="7" w:tplc="A03CC0EE" w:tentative="1">
      <w:start w:val="1"/>
      <w:numFmt w:val="bullet"/>
      <w:lvlText w:val=""/>
      <w:lvlPicBulletId w:val="1"/>
      <w:lvlJc w:val="left"/>
      <w:pPr>
        <w:tabs>
          <w:tab w:val="num" w:pos="5760"/>
        </w:tabs>
        <w:ind w:left="5760" w:hanging="360"/>
      </w:pPr>
      <w:rPr>
        <w:rFonts w:ascii="Symbol" w:hAnsi="Symbol" w:hint="default"/>
      </w:rPr>
    </w:lvl>
    <w:lvl w:ilvl="8" w:tplc="F9606DD0"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5AF2F70"/>
    <w:multiLevelType w:val="hybridMultilevel"/>
    <w:tmpl w:val="AF3AFAE2"/>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nsid w:val="694E2501"/>
    <w:multiLevelType w:val="hybridMultilevel"/>
    <w:tmpl w:val="96AEF9C0"/>
    <w:lvl w:ilvl="0" w:tplc="04090005">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8FD59C7"/>
    <w:multiLevelType w:val="hybridMultilevel"/>
    <w:tmpl w:val="D17AD41A"/>
    <w:lvl w:ilvl="0" w:tplc="8EC81B02">
      <w:start w:val="1"/>
      <w:numFmt w:val="bullet"/>
      <w:lvlText w:val=""/>
      <w:lvlPicBulletId w:val="0"/>
      <w:lvlJc w:val="left"/>
      <w:pPr>
        <w:tabs>
          <w:tab w:val="num" w:pos="720"/>
        </w:tabs>
        <w:ind w:left="720" w:hanging="360"/>
      </w:pPr>
      <w:rPr>
        <w:rFonts w:ascii="Symbol" w:hAnsi="Symbol" w:hint="default"/>
      </w:rPr>
    </w:lvl>
    <w:lvl w:ilvl="1" w:tplc="87A077C8">
      <w:start w:val="1"/>
      <w:numFmt w:val="bullet"/>
      <w:lvlText w:val=""/>
      <w:lvlPicBulletId w:val="0"/>
      <w:lvlJc w:val="left"/>
      <w:pPr>
        <w:tabs>
          <w:tab w:val="num" w:pos="1440"/>
        </w:tabs>
        <w:ind w:left="1440" w:hanging="360"/>
      </w:pPr>
      <w:rPr>
        <w:rFonts w:ascii="Symbol" w:hAnsi="Symbol" w:hint="default"/>
      </w:rPr>
    </w:lvl>
    <w:lvl w:ilvl="2" w:tplc="93B61196">
      <w:numFmt w:val="bullet"/>
      <w:lvlText w:val=""/>
      <w:lvlJc w:val="left"/>
      <w:pPr>
        <w:tabs>
          <w:tab w:val="num" w:pos="2160"/>
        </w:tabs>
        <w:ind w:left="2160" w:hanging="360"/>
      </w:pPr>
      <w:rPr>
        <w:rFonts w:ascii="Wingdings" w:hAnsi="Wingdings" w:hint="default"/>
      </w:rPr>
    </w:lvl>
    <w:lvl w:ilvl="3" w:tplc="EED86FA4">
      <w:numFmt w:val="bullet"/>
      <w:lvlText w:val=""/>
      <w:lvlPicBulletId w:val="1"/>
      <w:lvlJc w:val="left"/>
      <w:pPr>
        <w:tabs>
          <w:tab w:val="num" w:pos="2880"/>
        </w:tabs>
        <w:ind w:left="2880" w:hanging="360"/>
      </w:pPr>
      <w:rPr>
        <w:rFonts w:ascii="Symbol" w:hAnsi="Symbol" w:hint="default"/>
      </w:rPr>
    </w:lvl>
    <w:lvl w:ilvl="4" w:tplc="8398CBB2" w:tentative="1">
      <w:start w:val="1"/>
      <w:numFmt w:val="bullet"/>
      <w:lvlText w:val=""/>
      <w:lvlPicBulletId w:val="0"/>
      <w:lvlJc w:val="left"/>
      <w:pPr>
        <w:tabs>
          <w:tab w:val="num" w:pos="3600"/>
        </w:tabs>
        <w:ind w:left="3600" w:hanging="360"/>
      </w:pPr>
      <w:rPr>
        <w:rFonts w:ascii="Symbol" w:hAnsi="Symbol" w:hint="default"/>
      </w:rPr>
    </w:lvl>
    <w:lvl w:ilvl="5" w:tplc="07DCE600" w:tentative="1">
      <w:start w:val="1"/>
      <w:numFmt w:val="bullet"/>
      <w:lvlText w:val=""/>
      <w:lvlPicBulletId w:val="0"/>
      <w:lvlJc w:val="left"/>
      <w:pPr>
        <w:tabs>
          <w:tab w:val="num" w:pos="4320"/>
        </w:tabs>
        <w:ind w:left="4320" w:hanging="360"/>
      </w:pPr>
      <w:rPr>
        <w:rFonts w:ascii="Symbol" w:hAnsi="Symbol" w:hint="default"/>
      </w:rPr>
    </w:lvl>
    <w:lvl w:ilvl="6" w:tplc="3A923DAE" w:tentative="1">
      <w:start w:val="1"/>
      <w:numFmt w:val="bullet"/>
      <w:lvlText w:val=""/>
      <w:lvlPicBulletId w:val="0"/>
      <w:lvlJc w:val="left"/>
      <w:pPr>
        <w:tabs>
          <w:tab w:val="num" w:pos="5040"/>
        </w:tabs>
        <w:ind w:left="5040" w:hanging="360"/>
      </w:pPr>
      <w:rPr>
        <w:rFonts w:ascii="Symbol" w:hAnsi="Symbol" w:hint="default"/>
      </w:rPr>
    </w:lvl>
    <w:lvl w:ilvl="7" w:tplc="CB2617E2" w:tentative="1">
      <w:start w:val="1"/>
      <w:numFmt w:val="bullet"/>
      <w:lvlText w:val=""/>
      <w:lvlPicBulletId w:val="0"/>
      <w:lvlJc w:val="left"/>
      <w:pPr>
        <w:tabs>
          <w:tab w:val="num" w:pos="5760"/>
        </w:tabs>
        <w:ind w:left="5760" w:hanging="360"/>
      </w:pPr>
      <w:rPr>
        <w:rFonts w:ascii="Symbol" w:hAnsi="Symbol" w:hint="default"/>
      </w:rPr>
    </w:lvl>
    <w:lvl w:ilvl="8" w:tplc="B484E35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8"/>
  </w:num>
  <w:num w:numId="4">
    <w:abstractNumId w:val="21"/>
  </w:num>
  <w:num w:numId="5">
    <w:abstractNumId w:val="15"/>
  </w:num>
  <w:num w:numId="6">
    <w:abstractNumId w:val="29"/>
  </w:num>
  <w:num w:numId="7">
    <w:abstractNumId w:val="26"/>
  </w:num>
  <w:num w:numId="8">
    <w:abstractNumId w:val="2"/>
  </w:num>
  <w:num w:numId="9">
    <w:abstractNumId w:val="40"/>
  </w:num>
  <w:num w:numId="10">
    <w:abstractNumId w:val="9"/>
  </w:num>
  <w:num w:numId="11">
    <w:abstractNumId w:val="33"/>
  </w:num>
  <w:num w:numId="12">
    <w:abstractNumId w:val="37"/>
  </w:num>
  <w:num w:numId="13">
    <w:abstractNumId w:val="20"/>
  </w:num>
  <w:num w:numId="14">
    <w:abstractNumId w:val="30"/>
  </w:num>
  <w:num w:numId="15">
    <w:abstractNumId w:val="23"/>
  </w:num>
  <w:num w:numId="16">
    <w:abstractNumId w:val="18"/>
  </w:num>
  <w:num w:numId="17">
    <w:abstractNumId w:val="41"/>
  </w:num>
  <w:num w:numId="18">
    <w:abstractNumId w:val="16"/>
  </w:num>
  <w:num w:numId="19">
    <w:abstractNumId w:val="4"/>
  </w:num>
  <w:num w:numId="20">
    <w:abstractNumId w:val="22"/>
  </w:num>
  <w:num w:numId="21">
    <w:abstractNumId w:val="13"/>
  </w:num>
  <w:num w:numId="22">
    <w:abstractNumId w:val="24"/>
  </w:num>
  <w:num w:numId="23">
    <w:abstractNumId w:val="36"/>
  </w:num>
  <w:num w:numId="24">
    <w:abstractNumId w:val="5"/>
  </w:num>
  <w:num w:numId="25">
    <w:abstractNumId w:val="12"/>
  </w:num>
  <w:num w:numId="26">
    <w:abstractNumId w:val="42"/>
  </w:num>
  <w:num w:numId="27">
    <w:abstractNumId w:val="0"/>
  </w:num>
  <w:num w:numId="28">
    <w:abstractNumId w:val="39"/>
  </w:num>
  <w:num w:numId="29">
    <w:abstractNumId w:val="25"/>
  </w:num>
  <w:num w:numId="30">
    <w:abstractNumId w:val="27"/>
  </w:num>
  <w:num w:numId="31">
    <w:abstractNumId w:val="32"/>
  </w:num>
  <w:num w:numId="32">
    <w:abstractNumId w:val="6"/>
  </w:num>
  <w:num w:numId="33">
    <w:abstractNumId w:val="19"/>
  </w:num>
  <w:num w:numId="34">
    <w:abstractNumId w:val="14"/>
  </w:num>
  <w:num w:numId="35">
    <w:abstractNumId w:val="16"/>
  </w:num>
  <w:num w:numId="36">
    <w:abstractNumId w:val="16"/>
  </w:num>
  <w:num w:numId="37">
    <w:abstractNumId w:val="35"/>
  </w:num>
  <w:num w:numId="38">
    <w:abstractNumId w:val="38"/>
  </w:num>
  <w:num w:numId="39">
    <w:abstractNumId w:val="31"/>
  </w:num>
  <w:num w:numId="40">
    <w:abstractNumId w:val="16"/>
  </w:num>
  <w:num w:numId="41">
    <w:abstractNumId w:val="10"/>
  </w:num>
  <w:num w:numId="42">
    <w:abstractNumId w:val="1"/>
  </w:num>
  <w:num w:numId="43">
    <w:abstractNumId w:val="11"/>
  </w:num>
  <w:num w:numId="44">
    <w:abstractNumId w:val="34"/>
  </w:num>
  <w:num w:numId="45">
    <w:abstractNumId w:val="17"/>
  </w:num>
  <w:num w:numId="46">
    <w:abstractNumId w:val="3"/>
  </w:num>
  <w:num w:numId="4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4B09"/>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499"/>
    <w:rsid w:val="00047D2C"/>
    <w:rsid w:val="00050B3B"/>
    <w:rsid w:val="00050D92"/>
    <w:rsid w:val="00050F8D"/>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5E45"/>
    <w:rsid w:val="00106238"/>
    <w:rsid w:val="001068F8"/>
    <w:rsid w:val="0010779B"/>
    <w:rsid w:val="00107D58"/>
    <w:rsid w:val="001101D9"/>
    <w:rsid w:val="00110298"/>
    <w:rsid w:val="0011168E"/>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2CC6"/>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57F8D"/>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6756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75B"/>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51"/>
    <w:rsid w:val="002205B8"/>
    <w:rsid w:val="002213D8"/>
    <w:rsid w:val="00222523"/>
    <w:rsid w:val="002257C9"/>
    <w:rsid w:val="00226C62"/>
    <w:rsid w:val="00226D3C"/>
    <w:rsid w:val="0022773F"/>
    <w:rsid w:val="0023028C"/>
    <w:rsid w:val="0023059B"/>
    <w:rsid w:val="00230E58"/>
    <w:rsid w:val="002320A6"/>
    <w:rsid w:val="00233D0E"/>
    <w:rsid w:val="002341AB"/>
    <w:rsid w:val="0023424D"/>
    <w:rsid w:val="00234BF9"/>
    <w:rsid w:val="00234DFB"/>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40B"/>
    <w:rsid w:val="0027681A"/>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3CC"/>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284"/>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4BB4"/>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77EB0"/>
    <w:rsid w:val="00380D4C"/>
    <w:rsid w:val="00381DC2"/>
    <w:rsid w:val="003820EE"/>
    <w:rsid w:val="003827DA"/>
    <w:rsid w:val="003829BC"/>
    <w:rsid w:val="00385A30"/>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2CBF"/>
    <w:rsid w:val="003A310C"/>
    <w:rsid w:val="003A459E"/>
    <w:rsid w:val="003A4A4C"/>
    <w:rsid w:val="003A53A0"/>
    <w:rsid w:val="003A61D2"/>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82"/>
    <w:rsid w:val="004055C5"/>
    <w:rsid w:val="00405693"/>
    <w:rsid w:val="00410885"/>
    <w:rsid w:val="004111FC"/>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09FD"/>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40C6"/>
    <w:rsid w:val="004A5B9D"/>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A6A"/>
    <w:rsid w:val="004D5B43"/>
    <w:rsid w:val="004D5CF9"/>
    <w:rsid w:val="004D633B"/>
    <w:rsid w:val="004D6D27"/>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EEE"/>
    <w:rsid w:val="004E5F5C"/>
    <w:rsid w:val="004E67CC"/>
    <w:rsid w:val="004E6A17"/>
    <w:rsid w:val="004E7FDD"/>
    <w:rsid w:val="004F06A1"/>
    <w:rsid w:val="004F1F83"/>
    <w:rsid w:val="004F2245"/>
    <w:rsid w:val="004F29BB"/>
    <w:rsid w:val="004F2B4C"/>
    <w:rsid w:val="004F30D3"/>
    <w:rsid w:val="004F5E96"/>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515"/>
    <w:rsid w:val="00537F73"/>
    <w:rsid w:val="005406F0"/>
    <w:rsid w:val="00541579"/>
    <w:rsid w:val="00541F2D"/>
    <w:rsid w:val="005420FF"/>
    <w:rsid w:val="005427E7"/>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56DEF"/>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A75E1"/>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5CE"/>
    <w:rsid w:val="00644ABF"/>
    <w:rsid w:val="0064686E"/>
    <w:rsid w:val="00646E27"/>
    <w:rsid w:val="00647BD5"/>
    <w:rsid w:val="00651102"/>
    <w:rsid w:val="00652309"/>
    <w:rsid w:val="00652326"/>
    <w:rsid w:val="006524A4"/>
    <w:rsid w:val="00653244"/>
    <w:rsid w:val="00654297"/>
    <w:rsid w:val="00654D66"/>
    <w:rsid w:val="00655149"/>
    <w:rsid w:val="00657796"/>
    <w:rsid w:val="00657E62"/>
    <w:rsid w:val="00662107"/>
    <w:rsid w:val="0066339E"/>
    <w:rsid w:val="00665775"/>
    <w:rsid w:val="00665B67"/>
    <w:rsid w:val="00665D32"/>
    <w:rsid w:val="006662F5"/>
    <w:rsid w:val="006677C3"/>
    <w:rsid w:val="00667FA9"/>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4486"/>
    <w:rsid w:val="006949D2"/>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D12"/>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D79D3"/>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4B93"/>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27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13E"/>
    <w:rsid w:val="007818AA"/>
    <w:rsid w:val="00781A23"/>
    <w:rsid w:val="00781C9D"/>
    <w:rsid w:val="00781DD7"/>
    <w:rsid w:val="0078237C"/>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4C8C"/>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4FBE"/>
    <w:rsid w:val="007C53FA"/>
    <w:rsid w:val="007C5438"/>
    <w:rsid w:val="007C5874"/>
    <w:rsid w:val="007C64C8"/>
    <w:rsid w:val="007D0F24"/>
    <w:rsid w:val="007D2356"/>
    <w:rsid w:val="007D4BD2"/>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4FB"/>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1E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513"/>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C69"/>
    <w:rsid w:val="008D53BF"/>
    <w:rsid w:val="008D601B"/>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28B9"/>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55B8"/>
    <w:rsid w:val="009B6DF2"/>
    <w:rsid w:val="009B730C"/>
    <w:rsid w:val="009B76B5"/>
    <w:rsid w:val="009C0C6F"/>
    <w:rsid w:val="009C127A"/>
    <w:rsid w:val="009C19F6"/>
    <w:rsid w:val="009C1D33"/>
    <w:rsid w:val="009C2954"/>
    <w:rsid w:val="009C2EB5"/>
    <w:rsid w:val="009C2EC1"/>
    <w:rsid w:val="009C48F0"/>
    <w:rsid w:val="009C4C83"/>
    <w:rsid w:val="009C4EC6"/>
    <w:rsid w:val="009C61EE"/>
    <w:rsid w:val="009C627F"/>
    <w:rsid w:val="009C65C5"/>
    <w:rsid w:val="009C7DCA"/>
    <w:rsid w:val="009D12F8"/>
    <w:rsid w:val="009D14EE"/>
    <w:rsid w:val="009D1B3A"/>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466A"/>
    <w:rsid w:val="00A15802"/>
    <w:rsid w:val="00A16AF4"/>
    <w:rsid w:val="00A16BD6"/>
    <w:rsid w:val="00A2206C"/>
    <w:rsid w:val="00A22B9E"/>
    <w:rsid w:val="00A2323B"/>
    <w:rsid w:val="00A256AC"/>
    <w:rsid w:val="00A258AA"/>
    <w:rsid w:val="00A25C11"/>
    <w:rsid w:val="00A27059"/>
    <w:rsid w:val="00A2742A"/>
    <w:rsid w:val="00A277FF"/>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CBB"/>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5F3E"/>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19C9"/>
    <w:rsid w:val="00AA3B24"/>
    <w:rsid w:val="00AA3F43"/>
    <w:rsid w:val="00AA43AE"/>
    <w:rsid w:val="00AA45DA"/>
    <w:rsid w:val="00AA4C3C"/>
    <w:rsid w:val="00AA5A33"/>
    <w:rsid w:val="00AA6E88"/>
    <w:rsid w:val="00AA70E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258"/>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2DBD"/>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02E"/>
    <w:rsid w:val="00B744BC"/>
    <w:rsid w:val="00B75020"/>
    <w:rsid w:val="00B752F8"/>
    <w:rsid w:val="00B76F33"/>
    <w:rsid w:val="00B7715C"/>
    <w:rsid w:val="00B7754D"/>
    <w:rsid w:val="00B776F2"/>
    <w:rsid w:val="00B81324"/>
    <w:rsid w:val="00B81CE1"/>
    <w:rsid w:val="00B826B6"/>
    <w:rsid w:val="00B856AE"/>
    <w:rsid w:val="00B86232"/>
    <w:rsid w:val="00B865C0"/>
    <w:rsid w:val="00B86B48"/>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0D94"/>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61AE"/>
    <w:rsid w:val="00C7729C"/>
    <w:rsid w:val="00C77769"/>
    <w:rsid w:val="00C80F6F"/>
    <w:rsid w:val="00C8115E"/>
    <w:rsid w:val="00C81BBC"/>
    <w:rsid w:val="00C83033"/>
    <w:rsid w:val="00C83385"/>
    <w:rsid w:val="00C83E7F"/>
    <w:rsid w:val="00C83EEE"/>
    <w:rsid w:val="00C842F1"/>
    <w:rsid w:val="00C85069"/>
    <w:rsid w:val="00C85286"/>
    <w:rsid w:val="00C8557A"/>
    <w:rsid w:val="00C862CB"/>
    <w:rsid w:val="00C869AB"/>
    <w:rsid w:val="00C86C2D"/>
    <w:rsid w:val="00C87068"/>
    <w:rsid w:val="00C87A6A"/>
    <w:rsid w:val="00C90E2E"/>
    <w:rsid w:val="00C926FF"/>
    <w:rsid w:val="00C928B8"/>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53F"/>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3EB"/>
    <w:rsid w:val="00D426F4"/>
    <w:rsid w:val="00D42D47"/>
    <w:rsid w:val="00D431B7"/>
    <w:rsid w:val="00D43845"/>
    <w:rsid w:val="00D43AA6"/>
    <w:rsid w:val="00D43C4E"/>
    <w:rsid w:val="00D44FF5"/>
    <w:rsid w:val="00D4523D"/>
    <w:rsid w:val="00D4614C"/>
    <w:rsid w:val="00D4628B"/>
    <w:rsid w:val="00D46462"/>
    <w:rsid w:val="00D4672C"/>
    <w:rsid w:val="00D46D0F"/>
    <w:rsid w:val="00D479B7"/>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48ED"/>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01"/>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169"/>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5D71"/>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0D37"/>
    <w:rsid w:val="00E325FC"/>
    <w:rsid w:val="00E32CE2"/>
    <w:rsid w:val="00E33ACD"/>
    <w:rsid w:val="00E3550E"/>
    <w:rsid w:val="00E35679"/>
    <w:rsid w:val="00E35B60"/>
    <w:rsid w:val="00E35BD2"/>
    <w:rsid w:val="00E37429"/>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AF2"/>
    <w:rsid w:val="00E67D9C"/>
    <w:rsid w:val="00E71213"/>
    <w:rsid w:val="00E716C6"/>
    <w:rsid w:val="00E7388B"/>
    <w:rsid w:val="00E74907"/>
    <w:rsid w:val="00E74BDC"/>
    <w:rsid w:val="00E7720F"/>
    <w:rsid w:val="00E778F5"/>
    <w:rsid w:val="00E80401"/>
    <w:rsid w:val="00E82483"/>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30C"/>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1A3C"/>
    <w:rsid w:val="00F22461"/>
    <w:rsid w:val="00F24228"/>
    <w:rsid w:val="00F2491E"/>
    <w:rsid w:val="00F26D52"/>
    <w:rsid w:val="00F27362"/>
    <w:rsid w:val="00F27766"/>
    <w:rsid w:val="00F30F4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7FC"/>
    <w:rsid w:val="00F44A20"/>
    <w:rsid w:val="00F44DB3"/>
    <w:rsid w:val="00F457B2"/>
    <w:rsid w:val="00F47940"/>
    <w:rsid w:val="00F509D0"/>
    <w:rsid w:val="00F50B22"/>
    <w:rsid w:val="00F51130"/>
    <w:rsid w:val="00F51D7A"/>
    <w:rsid w:val="00F52C4A"/>
    <w:rsid w:val="00F52C70"/>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EB7"/>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7D4BD2"/>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5063370">
      <w:bodyDiv w:val="1"/>
      <w:marLeft w:val="0"/>
      <w:marRight w:val="0"/>
      <w:marTop w:val="0"/>
      <w:marBottom w:val="0"/>
      <w:divBdr>
        <w:top w:val="none" w:sz="0" w:space="0" w:color="auto"/>
        <w:left w:val="none" w:sz="0" w:space="0" w:color="auto"/>
        <w:bottom w:val="none" w:sz="0" w:space="0" w:color="auto"/>
        <w:right w:val="none" w:sz="0" w:space="0" w:color="auto"/>
      </w:divBdr>
      <w:divsChild>
        <w:div w:id="1716155417">
          <w:marLeft w:val="2520"/>
          <w:marRight w:val="0"/>
          <w:marTop w:val="67"/>
          <w:marBottom w:val="0"/>
          <w:divBdr>
            <w:top w:val="none" w:sz="0" w:space="0" w:color="auto"/>
            <w:left w:val="none" w:sz="0" w:space="0" w:color="auto"/>
            <w:bottom w:val="none" w:sz="0" w:space="0" w:color="auto"/>
            <w:right w:val="none" w:sz="0" w:space="0" w:color="auto"/>
          </w:divBdr>
        </w:div>
        <w:div w:id="1372028196">
          <w:marLeft w:val="2520"/>
          <w:marRight w:val="0"/>
          <w:marTop w:val="67"/>
          <w:marBottom w:val="0"/>
          <w:divBdr>
            <w:top w:val="none" w:sz="0" w:space="0" w:color="auto"/>
            <w:left w:val="none" w:sz="0" w:space="0" w:color="auto"/>
            <w:bottom w:val="none" w:sz="0" w:space="0" w:color="auto"/>
            <w:right w:val="none" w:sz="0" w:space="0" w:color="auto"/>
          </w:divBdr>
        </w:div>
        <w:div w:id="1240216137">
          <w:marLeft w:val="2520"/>
          <w:marRight w:val="0"/>
          <w:marTop w:val="67"/>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4738004">
      <w:bodyDiv w:val="1"/>
      <w:marLeft w:val="0"/>
      <w:marRight w:val="0"/>
      <w:marTop w:val="0"/>
      <w:marBottom w:val="0"/>
      <w:divBdr>
        <w:top w:val="none" w:sz="0" w:space="0" w:color="auto"/>
        <w:left w:val="none" w:sz="0" w:space="0" w:color="auto"/>
        <w:bottom w:val="none" w:sz="0" w:space="0" w:color="auto"/>
        <w:right w:val="none" w:sz="0" w:space="0" w:color="auto"/>
      </w:divBdr>
      <w:divsChild>
        <w:div w:id="1599017980">
          <w:marLeft w:val="1800"/>
          <w:marRight w:val="0"/>
          <w:marTop w:val="77"/>
          <w:marBottom w:val="0"/>
          <w:divBdr>
            <w:top w:val="none" w:sz="0" w:space="0" w:color="auto"/>
            <w:left w:val="none" w:sz="0" w:space="0" w:color="auto"/>
            <w:bottom w:val="none" w:sz="0" w:space="0" w:color="auto"/>
            <w:right w:val="none" w:sz="0" w:space="0" w:color="auto"/>
          </w:divBdr>
        </w:div>
        <w:div w:id="891893271">
          <w:marLeft w:val="1800"/>
          <w:marRight w:val="0"/>
          <w:marTop w:val="77"/>
          <w:marBottom w:val="0"/>
          <w:divBdr>
            <w:top w:val="none" w:sz="0" w:space="0" w:color="auto"/>
            <w:left w:val="none" w:sz="0" w:space="0" w:color="auto"/>
            <w:bottom w:val="none" w:sz="0" w:space="0" w:color="auto"/>
            <w:right w:val="none" w:sz="0" w:space="0" w:color="auto"/>
          </w:divBdr>
        </w:div>
        <w:div w:id="106194356">
          <w:marLeft w:val="1800"/>
          <w:marRight w:val="0"/>
          <w:marTop w:val="77"/>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0282550">
      <w:bodyDiv w:val="1"/>
      <w:marLeft w:val="0"/>
      <w:marRight w:val="0"/>
      <w:marTop w:val="0"/>
      <w:marBottom w:val="0"/>
      <w:divBdr>
        <w:top w:val="none" w:sz="0" w:space="0" w:color="auto"/>
        <w:left w:val="none" w:sz="0" w:space="0" w:color="auto"/>
        <w:bottom w:val="none" w:sz="0" w:space="0" w:color="auto"/>
        <w:right w:val="none" w:sz="0" w:space="0" w:color="auto"/>
      </w:divBdr>
      <w:divsChild>
        <w:div w:id="546839172">
          <w:marLeft w:val="1166"/>
          <w:marRight w:val="0"/>
          <w:marTop w:val="96"/>
          <w:marBottom w:val="0"/>
          <w:divBdr>
            <w:top w:val="none" w:sz="0" w:space="0" w:color="auto"/>
            <w:left w:val="none" w:sz="0" w:space="0" w:color="auto"/>
            <w:bottom w:val="none" w:sz="0" w:space="0" w:color="auto"/>
            <w:right w:val="none" w:sz="0" w:space="0" w:color="auto"/>
          </w:divBdr>
        </w:div>
        <w:div w:id="1078282978">
          <w:marLeft w:val="1800"/>
          <w:marRight w:val="0"/>
          <w:marTop w:val="77"/>
          <w:marBottom w:val="0"/>
          <w:divBdr>
            <w:top w:val="none" w:sz="0" w:space="0" w:color="auto"/>
            <w:left w:val="none" w:sz="0" w:space="0" w:color="auto"/>
            <w:bottom w:val="none" w:sz="0" w:space="0" w:color="auto"/>
            <w:right w:val="none" w:sz="0" w:space="0" w:color="auto"/>
          </w:divBdr>
        </w:div>
        <w:div w:id="865481712">
          <w:marLeft w:val="2520"/>
          <w:marRight w:val="0"/>
          <w:marTop w:val="67"/>
          <w:marBottom w:val="0"/>
          <w:divBdr>
            <w:top w:val="none" w:sz="0" w:space="0" w:color="auto"/>
            <w:left w:val="none" w:sz="0" w:space="0" w:color="auto"/>
            <w:bottom w:val="none" w:sz="0" w:space="0" w:color="auto"/>
            <w:right w:val="none" w:sz="0" w:space="0" w:color="auto"/>
          </w:divBdr>
        </w:div>
        <w:div w:id="725490487">
          <w:marLeft w:val="2520"/>
          <w:marRight w:val="0"/>
          <w:marTop w:val="67"/>
          <w:marBottom w:val="0"/>
          <w:divBdr>
            <w:top w:val="none" w:sz="0" w:space="0" w:color="auto"/>
            <w:left w:val="none" w:sz="0" w:space="0" w:color="auto"/>
            <w:bottom w:val="none" w:sz="0" w:space="0" w:color="auto"/>
            <w:right w:val="none" w:sz="0" w:space="0" w:color="auto"/>
          </w:divBdr>
        </w:div>
        <w:div w:id="169100237">
          <w:marLeft w:val="2520"/>
          <w:marRight w:val="0"/>
          <w:marTop w:val="67"/>
          <w:marBottom w:val="0"/>
          <w:divBdr>
            <w:top w:val="none" w:sz="0" w:space="0" w:color="auto"/>
            <w:left w:val="none" w:sz="0" w:space="0" w:color="auto"/>
            <w:bottom w:val="none" w:sz="0" w:space="0" w:color="auto"/>
            <w:right w:val="none" w:sz="0" w:space="0" w:color="auto"/>
          </w:divBdr>
        </w:div>
        <w:div w:id="957833305">
          <w:marLeft w:val="2520"/>
          <w:marRight w:val="0"/>
          <w:marTop w:val="67"/>
          <w:marBottom w:val="0"/>
          <w:divBdr>
            <w:top w:val="none" w:sz="0" w:space="0" w:color="auto"/>
            <w:left w:val="none" w:sz="0" w:space="0" w:color="auto"/>
            <w:bottom w:val="none" w:sz="0" w:space="0" w:color="auto"/>
            <w:right w:val="none" w:sz="0" w:space="0" w:color="auto"/>
          </w:divBdr>
        </w:div>
        <w:div w:id="1415200411">
          <w:marLeft w:val="2520"/>
          <w:marRight w:val="0"/>
          <w:marTop w:val="67"/>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791971116">
      <w:bodyDiv w:val="1"/>
      <w:marLeft w:val="0"/>
      <w:marRight w:val="0"/>
      <w:marTop w:val="0"/>
      <w:marBottom w:val="0"/>
      <w:divBdr>
        <w:top w:val="none" w:sz="0" w:space="0" w:color="auto"/>
        <w:left w:val="none" w:sz="0" w:space="0" w:color="auto"/>
        <w:bottom w:val="none" w:sz="0" w:space="0" w:color="auto"/>
        <w:right w:val="none" w:sz="0" w:space="0" w:color="auto"/>
      </w:divBdr>
      <w:divsChild>
        <w:div w:id="1122574640">
          <w:marLeft w:val="1800"/>
          <w:marRight w:val="0"/>
          <w:marTop w:val="77"/>
          <w:marBottom w:val="0"/>
          <w:divBdr>
            <w:top w:val="none" w:sz="0" w:space="0" w:color="auto"/>
            <w:left w:val="none" w:sz="0" w:space="0" w:color="auto"/>
            <w:bottom w:val="none" w:sz="0" w:space="0" w:color="auto"/>
            <w:right w:val="none" w:sz="0" w:space="0" w:color="auto"/>
          </w:divBdr>
        </w:div>
        <w:div w:id="1832214501">
          <w:marLeft w:val="1800"/>
          <w:marRight w:val="0"/>
          <w:marTop w:val="77"/>
          <w:marBottom w:val="0"/>
          <w:divBdr>
            <w:top w:val="none" w:sz="0" w:space="0" w:color="auto"/>
            <w:left w:val="none" w:sz="0" w:space="0" w:color="auto"/>
            <w:bottom w:val="none" w:sz="0" w:space="0" w:color="auto"/>
            <w:right w:val="none" w:sz="0" w:space="0" w:color="auto"/>
          </w:divBdr>
        </w:div>
        <w:div w:id="1749615779">
          <w:marLeft w:val="1800"/>
          <w:marRight w:val="0"/>
          <w:marTop w:val="77"/>
          <w:marBottom w:val="0"/>
          <w:divBdr>
            <w:top w:val="none" w:sz="0" w:space="0" w:color="auto"/>
            <w:left w:val="none" w:sz="0" w:space="0" w:color="auto"/>
            <w:bottom w:val="none" w:sz="0" w:space="0" w:color="auto"/>
            <w:right w:val="none" w:sz="0" w:space="0" w:color="auto"/>
          </w:divBdr>
        </w:div>
      </w:divsChild>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8E2B8-8283-4BB6-90AC-E097AECE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4935</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LGE_109</cp:lastModifiedBy>
  <cp:revision>2</cp:revision>
  <dcterms:created xsi:type="dcterms:W3CDTF">2023-11-03T07:37:00Z</dcterms:created>
  <dcterms:modified xsi:type="dcterms:W3CDTF">2023-11-03T07:37:00Z</dcterms:modified>
</cp:coreProperties>
</file>